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39.png" ContentType="image/png"/>
  <Override PartName="/word/media/rId38.png" ContentType="image/png"/>
  <Override PartName="/word/media/rId29.png" ContentType="image/png"/>
  <Override PartName="/word/media/rId44.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tree size and climate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Baltzer</w:t>
      </w:r>
      <w:r>
        <w:rPr>
          <w:vertAlign w:val="superscript"/>
        </w:rPr>
        <w:t xml:space="preserve">wl</w:t>
      </w:r>
      <w:r>
        <w:t xml:space="preserve">,</w:t>
      </w:r>
      <w:r>
        <w:t xml:space="preserve"> </w:t>
      </w:r>
      <w:r>
        <w:t xml:space="preserve">Patrick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Davies</w:t>
      </w:r>
      <w:r>
        <w:rPr>
          <w:vertAlign w:val="superscript"/>
        </w:rPr>
        <w:t xml:space="preserve">2</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tree size and climate. This has limited the potential to use tree-rings to understand forest productivity and its climate sensitivity.</w:t>
      </w:r>
    </w:p>
    <w:p>
      <w:pPr>
        <w:numPr>
          <w:ilvl w:val="0"/>
          <w:numId w:val="1002"/>
        </w:numPr>
      </w:pPr>
      <w:r>
        <w:t xml:space="preserve">Here, we develop a new method to simultaneously model non-linear effects of objectively determined principle climate drivers and reconstructed tree diameter (</w:t>
      </w:r>
      <m:oMath>
        <m:r>
          <m:t>D</m:t>
        </m:r>
        <m:r>
          <m:t>B</m:t>
        </m:r>
        <m:r>
          <m:t>H</m:t>
        </m:r>
      </m:oMath>
      <w:r>
        <w:t xml:space="preserve">).</w:t>
      </w:r>
      <w:r>
        <w:t xml:space="preserve"> </w:t>
      </w:r>
      <w:r>
        <w:t xml:space="preserve">Specifically, we first identify the most important climate drivers and their appropriate time window of influence using the</w:t>
      </w:r>
      <w:r>
        <w:t xml:space="preserve"> </w:t>
      </w:r>
      <w:r>
        <w:rPr>
          <w:i/>
        </w:rPr>
        <w:t xml:space="preserve">climwin</w:t>
      </w:r>
      <w:r>
        <w:t xml:space="preserve"> </w:t>
      </w:r>
      <w:r>
        <w:t xml:space="preserve">R package.</w:t>
      </w:r>
      <w:r>
        <w:t xml:space="preserve"> </w:t>
      </w:r>
      <w:r>
        <w:t xml:space="preserve">We then include these in generalized least squares models to model tree growth while accounting for the temporal autocorrelation inherent to each individual tree’s growth.</w:t>
      </w:r>
      <w:r>
        <w:t xml:space="preserve"> </w:t>
      </w:r>
      <w:r>
        <w:t xml:space="preserve">We apply this method to tree-ring data from 3896 trees representing 41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w:t>
      </w:r>
    </w:p>
    <w:p>
      <w:pPr>
        <w:numPr>
          <w:ilvl w:val="0"/>
          <w:numId w:val="1002"/>
        </w:numPr>
      </w:pPr>
      <w:r>
        <w:t xml:space="preserve">Our method provides a rigorous analytical framework for objectively identifying the most important climate drivers of tree growth and combining them with</w:t>
      </w:r>
      <w:r>
        <w:t xml:space="preserve"> </w:t>
      </w:r>
      <m:oMath>
        <m:r>
          <m:t>D</m:t>
        </m:r>
        <m:r>
          <m:t>B</m:t>
        </m:r>
        <m:r>
          <m:t>H</m:t>
        </m:r>
      </m:oMath>
      <w:r>
        <w:t xml:space="preserve"> </w:t>
      </w:r>
      <w:r>
        <w:t xml:space="preserve">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and that significant</w:t>
      </w:r>
      <w:r>
        <w:t xml:space="preserve"> </w:t>
      </w:r>
      <m:oMath>
        <m:r>
          <m:t>D</m:t>
        </m:r>
        <m:r>
          <m:t>B</m:t>
        </m:r>
        <m:r>
          <m:t>H</m:t>
        </m:r>
      </m:oMath>
      <w:r>
        <w:t xml:space="preserve"> </w:t>
      </w:r>
      <w:r>
        <w:t xml:space="preserve">- climate interactions are common.</w:t>
      </w:r>
      <w:r>
        <w:t xml:space="preserve"> </w:t>
      </w:r>
      <w:r>
        <w:t xml:space="preserve">These findings imply that</w:t>
      </w:r>
      <w:r>
        <w:t xml:space="preserve"> </w:t>
      </w:r>
      <m:oMath>
        <m:r>
          <m:t>D</m:t>
        </m:r>
        <m:r>
          <m:t>B</m:t>
        </m:r>
        <m:r>
          <m:t>H</m:t>
        </m:r>
      </m:oMath>
      <w:r>
        <w:t xml:space="preserve"> </w:t>
      </w:r>
      <w:r>
        <w:t xml:space="preserve">should be accounted for in analyses seeking to quantify the impacts of climate and other environmental drivers on tree growth.</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(Fritts, 1976)</w:t>
      </w:r>
      <w:r>
        <w:t xml:space="preserve"> </w:t>
      </w:r>
      <w:r>
        <w:t xml:space="preserve">and how it is changing</w:t>
      </w:r>
      <w:r>
        <w:t xml:space="preserve"> </w:t>
      </w:r>
      <w:r>
        <w:t xml:space="preserve">(e.g., Sniderhan &amp; Baltzer, 2016; Maxwell, Harley, &amp; Robeson,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Brubaker, &amp; Grier, 1989; Teets, Fraver, et al., 2018)</w:t>
      </w:r>
      <w:r>
        <w:t xml:space="preserve"> </w:t>
      </w:r>
      <w:r>
        <w:t xml:space="preserve">and its climate sensitivity</w:t>
      </w:r>
      <w:r>
        <w:t xml:space="preserve"> </w:t>
      </w:r>
      <w:r>
        <w:t xml:space="preserve">(Klesse et al., 2018; Teets et al., 2018; Helcoski et al., 2019)</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dendrochronological methods have been optimized to detect climate signals rather than to predict forest productivity and its climate sensitivity</w:t>
      </w:r>
      <w:r>
        <w:t xml:space="preserve"> </w:t>
      </w:r>
      <w:r>
        <w:t xml:space="preserve">(Klesse et al., 2018)</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To predict annual tree growth or forest productivity based on climate, a necessary first step is identification of the most important climate variables, the time frames over which they have the strongest influence over annual growth, and their additive or interactive effects.</w:t>
      </w:r>
      <w:r>
        <w:t xml:space="preserve"> </w:t>
      </w:r>
      <w:r>
        <w:t xml:space="preserve">Traditional dendrochronological methods identify climate signals by examining month-by-month correlations of ring-width index chronologies to select climate variables–most commonly temperature, precipitation, or a moisture index (PDSI or SPEI)–over the current year and, typically, previous year</w:t>
      </w:r>
      <w:r>
        <w:t xml:space="preserve"> </w:t>
      </w:r>
      <w:r>
        <w:t xml:space="preserve">(e.g., Fritts, 1976; Zang &amp; Biondi, 2015)</w:t>
      </w:r>
      <w:r>
        <w:t xml:space="preserve">.</w:t>
      </w:r>
      <w:r>
        <w:t xml:space="preserve"> </w:t>
      </w:r>
      <w:r>
        <w:t xml:space="preserve">While appropriate for identifying the strongest correlation between tree growth and an individual climate variable for purposes such as historical climate reconstructions</w:t>
      </w:r>
      <w:r>
        <w:t xml:space="preserve"> </w:t>
      </w:r>
      <w:r>
        <w:t xml:space="preserve">(e.g., Pederson et al., 2013; Maxwell &amp; Harley, 2017)</w:t>
      </w:r>
      <w:r>
        <w:t xml:space="preserve"> </w:t>
      </w:r>
      <w:r>
        <w:t xml:space="preserve">and for describing how each month’s climate affects tree growth or productivity</w:t>
      </w:r>
      <w:r>
        <w:t xml:space="preserve"> </w:t>
      </w:r>
      <w:r>
        <w:t xml:space="preserve">(e.g., Helcoski et al., 2019)</w:t>
      </w:r>
      <w:r>
        <w:t xml:space="preserve">, this approach falls short of objectively identifying the most important climate drivers and their time windows of influence, which is needed for multivariate models of annual tree growth and forest productivity</w:t>
      </w:r>
      <w:r>
        <w:t xml:space="preserve"> </w:t>
      </w:r>
      <w:r>
        <w:t xml:space="preserve">(e.g., Teets et al., 2018)</w:t>
      </w:r>
      <w:r>
        <w:t xml:space="preserve">.</w:t>
      </w:r>
      <w:r>
        <w:t xml:space="preserve"> </w:t>
      </w:r>
      <w:r>
        <w:t xml:space="preserve">Further, tree-ring studies generally do not consider additive or interactive effects of climate variables on annual growth</w:t>
      </w:r>
      <w:r>
        <w:t xml:space="preserve"> </w:t>
      </w:r>
      <w:r>
        <w:t xml:space="preserve">(DENDRO_REFS; but see Foster, Finley, D’Amato, Bradford, &amp; Banerjee, 2016)</w:t>
      </w:r>
      <w:r>
        <w:t xml:space="preserve">.</w:t>
      </w:r>
      <w:r>
        <w:t xml:space="preserve"> </w:t>
      </w:r>
      <w:r>
        <w:t xml:space="preserve">Such effects are expected based on observations that temperature and moisture jointly shape photosynthesis (REFS), tree growth</w:t>
      </w:r>
      <w:r>
        <w:t xml:space="preserve"> </w:t>
      </w:r>
      <w:r>
        <w:t xml:space="preserve">(Beedlow, Lee, Tingey, Waschmann, &amp; Burdick, 2013; Foster et al., 2016)</w:t>
      </w:r>
      <w:r>
        <w:t xml:space="preserve">, and forest productivity</w:t>
      </w:r>
      <w:r>
        <w:t xml:space="preserve"> </w:t>
      </w:r>
      <w:r>
        <w:t xml:space="preserve">(e.g., Alexander, Rollinson, Babst, Trouet, &amp; Moore, 2018; Banbury Morgan et al., n.d.)</w:t>
      </w:r>
      <w:r>
        <w:t xml:space="preserve">.</w:t>
      </w:r>
      <w:r>
        <w:t xml:space="preserve"> </w:t>
      </w:r>
      <w:r>
        <w:t xml:space="preserve">Thus, to model tree growth responses to climate, we need an objective approach to systematically evaluate numerous potential climate variables and time windows in order to select principle climate drivers appropriate for inclusion in multivariate models.</w:t>
      </w:r>
    </w:p>
    <w:p>
      <w:pPr>
        <w:pStyle w:val="BodyText"/>
      </w:pPr>
      <w:r>
        <w:rPr>
          <w:b/>
        </w:rPr>
        <w:t xml:space="preserve">Traditional dendrochronological methods focus on linear climate responses and the settings in which these occur, potentially missing widespread nonlinearities within forest settings, which have been widely observed at other spatio-temporal scales.</w:t>
      </w:r>
      <w:r>
        <w:t xml:space="preserve"> </w:t>
      </w:r>
      <w:r>
        <w:t xml:space="preserve">Over time frames of seconds to days, most biological rates—- from photosynthesis to plant and animal respiration—-display a unimodal relationship to temporal variation in temperature.</w:t>
      </w:r>
      <w:r>
        <w:t xml:space="preserve"> </w:t>
      </w:r>
      <w:r>
        <w:t xml:space="preserve">Specifically, these rates generally increase exponentially with temperature up to a point</w:t>
      </w:r>
      <w:r>
        <w:t xml:space="preserve"> </w:t>
      </w:r>
      <w:r>
        <w:t xml:space="preserve">(e.g., Brown, Gillooly, Allen, Savage, &amp; West, 2004)</w:t>
      </w:r>
      <w:r>
        <w:t xml:space="preserve">, typically reflective of the environment to which the organism is acclimated</w:t>
      </w:r>
      <w:r>
        <w:t xml:space="preserve"> </w:t>
      </w:r>
      <w:r>
        <w:t xml:space="preserve">(Kumarathunge et al., 2019)</w:t>
      </w:r>
      <w:r>
        <w:t xml:space="preserve">, and decrease at higher temperatures [e.g., REFS].</w:t>
      </w:r>
      <w:r>
        <w:t xml:space="preserve"> </w:t>
      </w:r>
      <w:r>
        <w:t xml:space="preserve">On the other end of the spatio-temporal spectrum, across regional to global climate gradients, annual forest productivity plateaus or decreases at high temperature,</w:t>
      </w:r>
      <w:r>
        <w:t xml:space="preserve"> </w:t>
      </w:r>
      <m:oMath>
        <m:sSub>
          <m:e>
            <m:r>
              <m:t>T</m:t>
            </m:r>
          </m:e>
          <m:sub>
            <m:r>
              <m:t>m</m:t>
            </m:r>
            <m:r>
              <m:t>a</m:t>
            </m:r>
            <m:r>
              <m:t>x</m:t>
            </m:r>
          </m:sub>
        </m:sSub>
      </m:oMath>
      <w:r>
        <w:t xml:space="preserve">, and potential evapotranspiration,</w:t>
      </w:r>
      <w:r>
        <w:t xml:space="preserve"> </w:t>
      </w:r>
      <m:oMath>
        <m:r>
          <m:t>P</m:t>
        </m:r>
        <m:r>
          <m:t>E</m:t>
        </m:r>
        <m:r>
          <m:t>T</m:t>
        </m:r>
      </m:oMath>
      <w:r>
        <w:t xml:space="preserve"> </w:t>
      </w:r>
      <w:r>
        <w:t xml:space="preserve">(Sullivan et al., 2020; Banbury Morgan et al., n.d.)</w:t>
      </w:r>
      <w:r>
        <w:t xml:space="preserve">.</w:t>
      </w:r>
      <w:r>
        <w:t xml:space="preserve"> </w:t>
      </w:r>
      <w:r>
        <w:t xml:space="preserve">Similarly, across global gradients, annual forest productivity increases with precipitation only up to a point, after which it plateaus or decreases</w:t>
      </w:r>
      <w:r>
        <w:t xml:space="preserve"> </w:t>
      </w:r>
      <w:r>
        <w:t xml:space="preserve">(Banbury Morgan et al., n.d.)</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rare</w:t>
      </w:r>
      <w:r>
        <w:t xml:space="preserve"> </w:t>
      </w:r>
      <w:r>
        <w:t xml:space="preserve">(Tolwinski-Ward, Anchukaitis, &amp; Evans, 2013; Tumajer et al., 2017)</w:t>
      </w:r>
      <w:r>
        <w:t xml:space="preserve">, and we therefore know little about what, if any, nonlinearities in the growth responses to interannual variation in climate occur for trees within forest settings.</w:t>
      </w:r>
    </w:p>
    <w:p>
      <w:pPr>
        <w:pStyle w:val="BodyText"/>
      </w:pPr>
      <w:r>
        <w:rPr>
          <w:b/>
        </w:rPr>
        <w:t xml:space="preserve">Tree size (most commonly diameter breast height,</w:t>
      </w:r>
      <w:r>
        <w:rPr>
          <w:b/>
        </w:rPr>
        <w:t xml:space="preserve"> </w:t>
      </w:r>
      <m:oMath>
        <m:r>
          <m:t>D</m:t>
        </m:r>
        <m:r>
          <m:t>B</m:t>
        </m:r>
        <m:r>
          <m:t>H</m:t>
        </m:r>
      </m:oMath>
      <w:r>
        <w:rPr>
          <w:b/>
        </w:rPr>
        <w:t xml:space="preserve">) is among the most important variables affecting tree growth rate</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McDowell, Allen, &amp; Anderson-Teixeira, 2015; McGregor et al., 2020)</w:t>
      </w:r>
      <w:r>
        <w:rPr>
          <w:b/>
        </w:rPr>
        <w:t xml:space="preserve">, yet traditional methods do not characterize its effect or its potential interactions with climate.</w:t>
      </w:r>
      <w:r>
        <w:t xml:space="preserve"> </w:t>
      </w:r>
      <w:r>
        <w:t xml:space="preserve">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Forrester, Bottero, Rigling, &amp; Lévesque, 2020; McGregor et al., 2020)</w:t>
      </w:r>
      <w:r>
        <w:t xml:space="preserve">, and smaller trees can be more sensitive to temperature (</w:t>
      </w:r>
      <w:r>
        <w:rPr>
          <w:i/>
        </w:rPr>
        <w:t xml:space="preserve">Rollinson et al. in review</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and its potential climate interactions.</w:t>
      </w:r>
    </w:p>
    <w:p>
      <w:pPr>
        <w:pStyle w:val="BodyText"/>
      </w:pPr>
      <w:r>
        <w:rPr>
          <w:b/>
        </w:rPr>
        <w:t xml:space="preserve">Here, we develop a new method that allows simultaneous consideration of the effects of tree size and objectively determined principle climate drivers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p>
    <w:bookmarkEnd w:id="26"/>
    <w:bookmarkStart w:id="37" w:name="materials-and-methods"/>
    <w:p>
      <w:pPr>
        <w:pStyle w:val="Heading1"/>
      </w:pPr>
      <w:r>
        <w:t xml:space="preserve">Materials and Methods</w:t>
      </w:r>
    </w:p>
    <w:bookmarkStart w:id="28" w:name="data-sources-and-preparation"/>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in the vicinity (n=#; max distance: # km),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rPr>
          <w:i/>
        </w:rPr>
        <w:t xml:space="preserve">Climate will be filled in based on CRU data.</w:t>
      </w:r>
      <w:r>
        <w:t xml:space="preserve"> </w:t>
      </w:r>
      <w:r>
        <w:drawing>
          <wp:inline>
            <wp:extent cx="5943600" cy="3164485"/>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164485"/>
                    </a:xfrm>
                    <a:prstGeom prst="rect">
                      <a:avLst/>
                    </a:prstGeom>
                    <a:noFill/>
                    <a:ln w="9525">
                      <a:noFill/>
                      <a:headEnd/>
                      <a:tailEnd/>
                    </a:ln>
                  </pic:spPr>
                </pic:pic>
              </a:graphicData>
            </a:graphic>
          </wp:inline>
        </w:drawing>
      </w:r>
    </w:p>
    <w:p>
      <w:pPr>
        <w:pStyle w:val="BodyText"/>
      </w:pPr>
      <w:r>
        <w:t xml:space="preserve">All tree cores were measured and cross-dated by the original researchers using standard dendrochronological practices.</w:t>
      </w:r>
      <w:r>
        <w:t xml:space="preserve"> </w:t>
      </w:r>
      <w:r>
        <w:t xml:space="preserve">From among the full set of</w:t>
      </w:r>
      <w:r>
        <w:t xml:space="preserve"> </w:t>
      </w:r>
      <w:r>
        <w:rPr>
          <w:i/>
        </w:rPr>
        <w:t xml:space="preserve">#</w:t>
      </w:r>
      <w:r>
        <w:t xml:space="preserve"> </w:t>
      </w:r>
      <w:r>
        <w:t xml:space="preserve">original records,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w:t>
      </w:r>
      <w:r>
        <w:rPr>
          <w:i/>
        </w:rPr>
        <w:t xml:space="preserve">Appendix S1</w:t>
      </w:r>
      <w:r>
        <w:t xml:space="preserve">),</w:t>
      </w:r>
      <w:r>
        <w:t xml:space="preserve"> </w:t>
      </w:r>
      <w:r>
        <w:t xml:space="preserve">and (3) parts of records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4274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w:t>
      </w:r>
      <w:r>
        <w:t xml:space="preserve"> </w:t>
      </w:r>
      <w:r>
        <w:rPr>
          <w:i/>
        </w:rPr>
        <w:t xml:space="preserve">Appendix S1</w:t>
      </w:r>
      <w:r>
        <w:t xml:space="preserve">.</w:t>
      </w:r>
      <w:r>
        <w:t xml:space="preserve"> </w:t>
      </w:r>
      <w:r>
        <w:t xml:space="preserve">In most cases, when a recent</w:t>
      </w:r>
      <w:r>
        <w:t xml:space="preserve"> </w:t>
      </w:r>
      <m:oMath>
        <m:r>
          <m:t>D</m:t>
        </m:r>
        <m:r>
          <m:t>B</m:t>
        </m:r>
        <m:r>
          <m:t>H</m:t>
        </m:r>
      </m:oMath>
      <w:r>
        <w:t xml:space="preserve"> </w:t>
      </w:r>
      <w:r>
        <w:t xml:space="preserve">measurement was available,</w:t>
      </w:r>
      <w:r>
        <w:t xml:space="preserve"> </w:t>
      </w:r>
      <m:oMath>
        <m:r>
          <m:t>D</m:t>
        </m:r>
        <m:r>
          <m:t>B</m:t>
        </m:r>
        <m:r>
          <m:t>H</m:t>
        </m:r>
      </m:oMath>
      <w:r>
        <w:t xml:space="preserve"> </w:t>
      </w:r>
      <w:r>
        <w:t xml:space="preserve">was reconstructed from the outside in.</w:t>
      </w:r>
      <w:r>
        <w:t xml:space="preserve"> </w:t>
      </w:r>
      <w:r>
        <w:t xml:space="preserve">In cases where</w:t>
      </w:r>
      <w:r>
        <w:t xml:space="preserve"> </w:t>
      </w:r>
      <m:oMath>
        <m:r>
          <m:t>D</m:t>
        </m:r>
        <m:r>
          <m:t>B</m:t>
        </m:r>
        <m:r>
          <m:t>H</m:t>
        </m:r>
      </m:oMath>
      <w:r>
        <w:t xml:space="preserve"> </w:t>
      </w:r>
      <w:r>
        <w:t xml:space="preserve">was not available, but when we knew that the core hit pith or could reasonably estimate how far off it was based on the curvature of the rings</w:t>
      </w:r>
      <w:r>
        <w:t xml:space="preserve"> </w:t>
      </w:r>
      <w:r>
        <w:t xml:space="preserve">(Applequist, 1958; Duncan, 1989)</w:t>
      </w:r>
      <w:r>
        <w:t xml:space="preserve">,</w:t>
      </w:r>
      <w:r>
        <w:t xml:space="preserve"> </w:t>
      </w:r>
      <m:oMath>
        <m:r>
          <m:t>D</m:t>
        </m:r>
        <m:r>
          <m:t>B</m:t>
        </m:r>
        <m:r>
          <m:t>H</m:t>
        </m:r>
      </m:oMath>
      <w:r>
        <w:t xml:space="preserve"> </w:t>
      </w:r>
      <w:r>
        <w:t xml:space="preserve">was reconstructed from the inside out.</w:t>
      </w:r>
      <w:r>
        <w:t xml:space="preserve"> </w:t>
      </w:r>
      <w:r>
        <w:t xml:space="preserve">In either case, we used allometric equations between</w:t>
      </w:r>
      <w:r>
        <w:t xml:space="preserve"> </w:t>
      </w:r>
      <m:oMath>
        <m:r>
          <m:t>D</m:t>
        </m:r>
        <m:r>
          <m:t>B</m:t>
        </m:r>
        <m:r>
          <m:t>H</m:t>
        </m:r>
      </m:oMath>
      <w:r>
        <w:t xml:space="preserve"> </w:t>
      </w:r>
      <w:r>
        <w:t xml:space="preserve">and bark thickness to account for changes in bark thickness as the tree grew (Appendix S1;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sites were calculated using the R packages</w:t>
      </w:r>
      <w:r>
        <w:t xml:space="preserve"> </w:t>
      </w:r>
      <w:r>
        <w:rPr>
          <w:i/>
        </w:rPr>
        <w:t xml:space="preserve">allo-db</w:t>
      </w:r>
      <w:r>
        <w:t xml:space="preserve"> </w:t>
      </w:r>
      <w:r>
        <w:t xml:space="preserve">(Gonzalez-Akre et al. in prep) and</w:t>
      </w:r>
      <w:r>
        <w:t xml:space="preserve"> </w:t>
      </w:r>
      <w:r>
        <w:rPr>
          <w:i/>
        </w:rPr>
        <w:t xml:space="preserve">biomass</w:t>
      </w:r>
      <w:r>
        <w:t xml:space="preserve"> </w:t>
      </w:r>
      <w:r>
        <w:t xml:space="preserve">(Réjou-Méchain, Tanguy, Piponiot, Chave, &amp; Hérault, 2017)</w:t>
      </w:r>
      <w:r>
        <w:t xml:space="preserve">, respectively.</w:t>
      </w:r>
    </w:p>
    <w:p>
      <w:pPr>
        <w:pStyle w:val="BodyText"/>
      </w:pPr>
      <w:r>
        <w:t xml:space="preserve">Monthly climate data for 1901-2019 were obtained from CRU v.4.04</w:t>
      </w:r>
      <w:r>
        <w:t xml:space="preserve"> </w:t>
      </w:r>
      <w:r>
        <w:t xml:space="preserve">(Harris, Jones, Osborn, &amp; Lister, 2014; Harris, Osborn, Jones, &amp; Lister, 2020)</w:t>
      </w:r>
      <w:r>
        <w:t xml:space="preserve">.</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potential evapotranspiration (</w:t>
      </w:r>
      <m:oMath>
        <m:r>
          <m:t>P</m:t>
        </m:r>
        <m:r>
          <m:t>E</m:t>
        </m:r>
        <m:r>
          <m:t>T</m:t>
        </m:r>
      </m:oMath>
      <w:r>
        <w:t xml:space="preserve">); precipitation (</w:t>
      </w:r>
      <m:oMath>
        <m:r>
          <m:t>P</m:t>
        </m:r>
        <m:r>
          <m:t>P</m:t>
        </m:r>
        <m:r>
          <m:t>T</m:t>
        </m:r>
      </m:oMath>
      <w:r>
        <w:t xml:space="preserve">); and precipitation day frequency (</w:t>
      </w:r>
      <m:oMath>
        <m:r>
          <m:t>P</m:t>
        </m:r>
        <m:r>
          <m:t>D</m:t>
        </m:r>
        <m:r>
          <m:t>F</m:t>
        </m:r>
      </m:oMath>
      <w:r>
        <w:t xml:space="preserve">).</w:t>
      </w:r>
      <w:r>
        <w:t xml:space="preserve"> </w:t>
      </w:r>
      <w:r>
        <w:t xml:space="preserve">For BCI, we calculated monthly</w:t>
      </w:r>
      <w:r>
        <w:t xml:space="preserve"> </w:t>
      </w:r>
      <m:oMath>
        <m:r>
          <m:t>P</m:t>
        </m:r>
        <m:r>
          <m:t>P</m:t>
        </m:r>
        <m:r>
          <m:t>T</m:t>
        </m:r>
      </m:oMath>
      <w:r>
        <w:t xml:space="preserve"> </w:t>
      </w:r>
      <w:r>
        <w:t xml:space="preserve">and</w:t>
      </w:r>
      <w:r>
        <w:t xml:space="preserve"> </w:t>
      </w:r>
      <m:oMath>
        <m:r>
          <m:t>P</m:t>
        </m:r>
        <m:r>
          <m:t>D</m:t>
        </m:r>
        <m:r>
          <m:t>F</m:t>
        </m:r>
      </m:oMath>
      <w:r>
        <w:t xml:space="preserve"> </w:t>
      </w:r>
      <w:r>
        <w:t xml:space="preserve">from daily precipitation readings made on BCI starting in 1929</w:t>
      </w:r>
      <w:r>
        <w:t xml:space="preserve"> </w:t>
      </w:r>
      <w:r>
        <w:t xml:space="preserve">(Paton, 2019)</w:t>
      </w:r>
      <w:r>
        <w:t xml:space="preserve">.</w:t>
      </w:r>
      <w:r>
        <w:t xml:space="preserve"> </w:t>
      </w:r>
      <w:r>
        <w:t xml:space="preserve">All ForestGEO climate records used here are archived in the ForestGEO Climate Data Portal, v1.0-alpha</w:t>
      </w:r>
      <w:r>
        <w:t xml:space="preserve"> </w:t>
      </w:r>
      <w:r>
        <w:t xml:space="preserve">(Anderson-Teixeira et al., 2020)</w:t>
      </w:r>
      <w:r>
        <w:t xml:space="preserve">.</w:t>
      </w:r>
    </w:p>
    <w:bookmarkEnd w:id="28"/>
    <w:bookmarkStart w:id="36" w:name="analysis-method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 The analysis was run separately for each site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p>
    <w:p>
      <w:pPr>
        <w:pStyle w:val="CaptionedFigure"/>
      </w:pPr>
      <w:r>
        <w:drawing>
          <wp:inline>
            <wp:extent cx="5943600" cy="3767715"/>
            <wp:effectExtent b="0" l="0" r="0" t="0"/>
            <wp:docPr descr="Figure 1 | DRAFT Schematic illustrating our analysis process. This analysis is conducted separately for each site."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767715"/>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bookmarkStart w:id="33" w:name="identifying-key-climate-drivers"/>
    <w:p>
      <w:pPr>
        <w:pStyle w:val="Heading3"/>
      </w:pPr>
      <w:r>
        <w:t xml:space="preserve">Identifying key climate drivers</w:t>
      </w:r>
    </w:p>
    <w:p>
      <w:pPr>
        <w:pStyle w:val="FirstParagraph"/>
      </w:pPr>
      <w:r>
        <w:rPr>
          <w:b/>
        </w:rPr>
        <w:t xml:space="preserve">We used the</w:t>
      </w:r>
      <w:r>
        <w:rPr>
          <w:b/>
        </w:rPr>
        <w:t xml:space="preserve"> </w:t>
      </w:r>
      <w:r>
        <w:rPr>
          <w:i/>
          <w:b/>
        </w:rPr>
        <w:t xml:space="preserve">climwin</w:t>
      </w:r>
      <w:r>
        <w:rPr>
          <w:b/>
        </w:rPr>
        <w:t xml:space="preserve"> </w:t>
      </w:r>
      <w:r>
        <w:rPr>
          <w:b/>
        </w:rPr>
        <w:t xml:space="preserve">package in R</w:t>
      </w:r>
      <w:r>
        <w:rPr>
          <w:b/>
        </w:rPr>
        <w:t xml:space="preserve"> </w:t>
      </w:r>
      <w:r>
        <w:rPr>
          <w:b/>
        </w:rPr>
        <w:t xml:space="preserve">(van de Pol et al., 2016)</w:t>
      </w:r>
      <w:r>
        <w:rPr>
          <w:b/>
        </w:rPr>
        <w:t xml:space="preserve"> </w:t>
      </w:r>
      <w:r>
        <w:rPr>
          <w:b/>
        </w:rPr>
        <w:t xml:space="preserve">to identify the most important climate driver and the time window over which its effect was strongest for each of two categories of variables: a temperature group (mean, min, and max temperature; PET) and a precipitation group (precipitation, number of days with precipitation).</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and core identity as random effects:</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w:t>
      </w:r>
      <w:r>
        <w:rPr>
          <w:i/>
        </w:rPr>
        <w:t xml:space="preserve">Table S1</w:t>
      </w:r>
      <w:r>
        <w:t xml:space="preserve">). (</w:t>
      </w:r>
      <w:hyperlink r:id="rId30">
        <w:r>
          <w:rPr>
            <w:rStyle w:val="Hyperlink"/>
            <w:b/>
          </w:rPr>
          <w:t xml:space="preserve">ISSUE #51 in ForestGEO-climate-sensitivity</w:t>
        </w:r>
      </w:hyperlink>
      <w:r>
        <w:t xml:space="preserve">)</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A challenge to this system arose for the sites that have undergone the most rapid changes in climate and tree growth: SC and LT, where trees exhibit significant growth declines attributed to rising temperatures</w:t>
      </w:r>
      <w:r>
        <w:t xml:space="preserve"> </w:t>
      </w:r>
      <w:r>
        <w:t xml:space="preserve">(Sniderhan &amp; Baltzer, 2016)</w:t>
      </w:r>
      <w:r>
        <w:t xml:space="preserve"> </w:t>
      </w:r>
      <w:r>
        <w:t xml:space="preserve">and increasing drought (REF), respectively.</w:t>
      </w:r>
      <w:r>
        <w:t xml:space="preserve"> </w:t>
      </w:r>
      <w:r>
        <w:rPr>
          <w:i/>
        </w:rPr>
        <w:t xml:space="preserve">(</w:t>
      </w:r>
      <w:hyperlink r:id="rId31">
        <w:r>
          <w:rPr>
            <w:rStyle w:val="Hyperlink"/>
            <w:i/>
          </w:rPr>
          <w:t xml:space="preserve">ISSUE #25 in ForestGEO-climate-sensitivity</w:t>
        </w:r>
      </w:hyperlink>
      <w:r>
        <w:rPr>
          <w:i/>
        </w:rPr>
        <w:t xml:space="preserve">)</w:t>
      </w:r>
      <w:r>
        <w:t xml:space="preserve"> </w:t>
      </w:r>
      <w:r>
        <w:t xml:space="preserve">Problematically, correlating tree growth residuals from which climate-driven trends had been removed against the climate signal with a strong directional trend would not necessarily identify the most relevant climate drivers.</w:t>
      </w:r>
      <w:r>
        <w:t xml:space="preserve"> </w:t>
      </w:r>
      <w:r>
        <w:t xml:space="preserve">For these sites, we experimented with three approaches to identifying the most important climate drivers (1) the method described above, (2) detrending the climate variables</w:t>
      </w:r>
      <w:r>
        <w:t xml:space="preserve"> </w:t>
      </w:r>
      <w:r>
        <w:rPr>
          <w:b/>
        </w:rPr>
        <w:t xml:space="preserve">(AT:prewhitening?)</w:t>
      </w:r>
      <w:r>
        <w:t xml:space="preserve"> </w:t>
      </w:r>
      <w:r>
        <w:t xml:space="preserve">prior to the climwin step, and (3) excluding</w:t>
      </w:r>
      <w:r>
        <w:t xml:space="preserve"> </w:t>
      </w:r>
      <w:r>
        <w:rPr>
          <w:i/>
        </w:rPr>
        <w:t xml:space="preserve">decades with the most pronounced climate change</w:t>
      </w:r>
      <w:r>
        <w:t xml:space="preserve"> </w:t>
      </w:r>
      <w:r>
        <w:t xml:space="preserve">from the climwin step of the analysis</w:t>
      </w:r>
      <w:r>
        <w:t xml:space="preserve"> </w:t>
      </w:r>
      <w:r>
        <w:t xml:space="preserve">(</w:t>
      </w:r>
      <w:r>
        <w:rPr>
          <w:i/>
        </w:rPr>
        <w:t xml:space="preserve">sensu</w:t>
      </w:r>
      <w:r>
        <w:t xml:space="preserve"> </w:t>
      </w:r>
      <w:r>
        <w:t xml:space="preserve">Sniderhan &amp; Baltzer, 2016)</w:t>
      </w:r>
      <w:r>
        <w:t xml:space="preserve"> </w:t>
      </w:r>
      <w:r>
        <w:t xml:space="preserve">(Appendix S3).</w:t>
      </w:r>
      <w:r>
        <w:t xml:space="preserve"> </w:t>
      </w:r>
      <w:r>
        <w:t xml:space="preserve">After determining that… , here we present results</w:t>
      </w:r>
      <w:r>
        <w:t xml:space="preserve"> </w:t>
      </w:r>
      <w:r>
        <w:rPr>
          <w:i/>
        </w:rPr>
        <w:t xml:space="preserve">(method)</w:t>
      </w:r>
      <w:r>
        <w:t xml:space="preserve">.</w:t>
      </w:r>
    </w:p>
    <w:p>
      <w:pPr>
        <w:pStyle w:val="BodyText"/>
      </w:pPr>
      <w:r>
        <w:t xml:space="preserve">We verified that this process identified similar climate variable-month combinations as what would be identified using traditional methods for individual species, as detailed in Appendix S2. (</w:t>
      </w:r>
      <w:hyperlink r:id="rId32">
        <w:r>
          <w:rPr>
            <w:rStyle w:val="Hyperlink"/>
            <w:b/>
          </w:rPr>
          <w:t xml:space="preserve">ISSUE #35 in ForestGEO-climate-sensitivity</w:t>
        </w:r>
      </w:hyperlink>
      <w:r>
        <w:t xml:space="preserve">)</w:t>
      </w:r>
    </w:p>
    <w:bookmarkEnd w:id="33"/>
    <w:bookmarkStart w:id="35" w:name="combining-drivers-in-gls-model"/>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models including interactive effects of climate and</w:t>
      </w:r>
      <w:r>
        <w:t xml:space="preserve"> </w:t>
      </w:r>
      <m:oMath>
        <m:r>
          <m:t>D</m:t>
        </m:r>
        <m:r>
          <m:t>B</m:t>
        </m:r>
        <m:r>
          <m:t>H</m:t>
        </m:r>
      </m:oMath>
      <w:r>
        <w:t xml:space="preserve">, we included only first-order linear terms for both</w:t>
      </w:r>
      <w:r>
        <w:t xml:space="preserve"> </w:t>
      </w:r>
      <m:oMath>
        <m:r>
          <m:t>D</m:t>
        </m:r>
        <m:r>
          <m:t>B</m:t>
        </m:r>
        <m:r>
          <m:t>H</m:t>
        </m:r>
      </m:oMath>
      <w:r>
        <w:t xml:space="preserve"> </w:t>
      </w:r>
      <w:r>
        <w:t xml:space="preserve">and climate variables. (</w:t>
      </w:r>
      <w:hyperlink r:id="rId34">
        <w:r>
          <w:rPr>
            <w:rStyle w:val="Hyperlink"/>
            <w:i/>
          </w:rPr>
          <w:t xml:space="preserve">ISSUE #42 in ForestGEO-climate-sensitivity</w:t>
        </w:r>
      </w:hyperlink>
      <w:r>
        <w:t xml:space="preserve">)</w:t>
      </w:r>
      <w:r>
        <w:t xml:space="preserve"> </w:t>
      </w:r>
      <w:r>
        <w:t xml:space="preserve">Within each of three categories of models run (climate only,</w:t>
      </w:r>
      <w:r>
        <w:t xml:space="preserve"> </w:t>
      </w:r>
      <m:oMath>
        <m:r>
          <m:t>D</m:t>
        </m:r>
        <m:r>
          <m:t>B</m:t>
        </m:r>
        <m:r>
          <m:t>H</m:t>
        </m:r>
      </m:oMath>
      <w:r>
        <w:t xml:space="preserve">+climate,</w:t>
      </w:r>
      <w:r>
        <w:t xml:space="preserve"> </w:t>
      </w:r>
      <m:oMath>
        <m:r>
          <m:t>D</m:t>
        </m:r>
        <m:r>
          <m:t>B</m:t>
        </m:r>
        <m:r>
          <m:t>H</m:t>
        </m:r>
      </m:oMath>
      <w:r>
        <w:t xml:space="preserve"> </w:t>
      </w:r>
      <w:r>
        <w:t xml:space="preserve">x climate), we selected as the top model that with the lowest AIC.</w:t>
      </w:r>
    </w:p>
    <w:bookmarkEnd w:id="35"/>
    <w:bookmarkEnd w:id="36"/>
    <w:bookmarkEnd w:id="37"/>
    <w:bookmarkStart w:id="46" w:name="results"/>
    <w:p>
      <w:pPr>
        <w:pStyle w:val="Heading1"/>
      </w:pPr>
      <w:r>
        <w:t xml:space="preserve">Results</w:t>
      </w:r>
    </w:p>
    <w:bookmarkStart w:id="40" w:name="identifying-climate-drivers"/>
    <w:p>
      <w:pPr>
        <w:pStyle w:val="Heading3"/>
      </w:pPr>
      <w:r>
        <w:t xml:space="preserve">Identifying climate drivers</w:t>
      </w:r>
    </w:p>
    <w:p>
      <w:pPr>
        <w:pStyle w:val="FirstParagraph"/>
      </w:pPr>
      <w:r>
        <w:rPr>
          <w:b/>
        </w:rPr>
        <w:t xml:space="preserve">Our process picked out similar climate drivers to what would be obtained via traditional methods (Figs. 2,</w:t>
      </w:r>
      <w:r>
        <w:rPr>
          <w:b/>
        </w:rPr>
        <w:t xml:space="preserve"> </w:t>
      </w:r>
      <w:r>
        <w:t xml:space="preserve">S1</w:t>
      </w:r>
      <w:r>
        <w:rPr>
          <w:b/>
        </w:rPr>
        <w:t xml:space="preserve">; Table S5; Appendix S2), but with the advantage that</w:t>
      </w:r>
      <w:r>
        <w:rPr>
          <w:b/>
        </w:rPr>
        <w:t xml:space="preserve"> </w:t>
      </w:r>
      <w:r>
        <w:rPr>
          <w:i/>
          <w:b/>
        </w:rPr>
        <w:t xml:space="preserve">climwin</w:t>
      </w:r>
      <w:r>
        <w:rPr>
          <w:b/>
        </w:rPr>
        <w:t xml:space="preserve"> </w:t>
      </w:r>
      <w:r>
        <w:rPr>
          <w:b/>
        </w:rPr>
        <w:t xml:space="preserve">allowed objective selection of the strongest climate drivers and the time windows over which they were most influential.</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each of which was identified by climwin as the top temperature-related driver</w:t>
      </w:r>
      <w:r>
        <w:t xml:space="preserve"> </w:t>
      </w:r>
      <w:r>
        <w:rPr>
          <w:i/>
        </w:rPr>
        <w:t xml:space="preserve">at four of the eight sites</w:t>
      </w:r>
      <w:r>
        <w:t xml:space="preserve">.</w:t>
      </w:r>
      <w:r>
        <w:t xml:space="preserve"> </w:t>
      </w:r>
      <m:oMath>
        <m:sSub>
          <m:e>
            <m:r>
              <m:t>T</m:t>
            </m:r>
          </m:e>
          <m:sub>
            <m:r>
              <m:t>m</m:t>
            </m:r>
            <m:r>
              <m:t>i</m:t>
            </m:r>
            <m:r>
              <m:t>n</m:t>
            </m:r>
          </m:sub>
        </m:sSub>
      </m:oMath>
      <w:r>
        <w:t xml:space="preserve"> </w:t>
      </w:r>
      <w:r>
        <w:t xml:space="preserve">was the top driver at only</w:t>
      </w:r>
      <w:r>
        <w:t xml:space="preserve"> </w:t>
      </w:r>
      <w:r>
        <w:rPr>
          <w:i/>
        </w:rPr>
        <w:t xml:space="preserve">one site (BCI)</w:t>
      </w:r>
      <w:r>
        <w:t xml:space="preserve">, and</w:t>
      </w:r>
      <w:r>
        <w:t xml:space="preserve"> </w:t>
      </w:r>
      <m:oMath>
        <m:sSub>
          <m:e>
            <m:r>
              <m:t>T</m:t>
            </m:r>
          </m:e>
          <m:sub>
            <m:r>
              <m:t>m</m:t>
            </m:r>
            <m:r>
              <m:t>e</m:t>
            </m:r>
            <m:r>
              <m:t>a</m:t>
            </m:r>
            <m:r>
              <m:t>n</m:t>
            </m:r>
          </m:sub>
        </m:sSub>
      </m:oMath>
      <w:r>
        <w:t xml:space="preserve"> </w:t>
      </w:r>
      <w:r>
        <w:t xml:space="preserve">was never identified as the top variable within the temperature group (Fig. 3).</w:t>
      </w:r>
      <w:r>
        <w:t xml:space="preserve"> </w:t>
      </w:r>
      <w:r>
        <w:t xml:space="preserve">Within the precipitation group, precipitation amount (</w:t>
      </w:r>
      <m:oMath>
        <m:r>
          <m:t>P</m:t>
        </m:r>
        <m:r>
          <m:t>P</m:t>
        </m:r>
        <m:r>
          <m:t>T</m:t>
        </m:r>
      </m:oMath>
      <w:r>
        <w:t xml:space="preserve">) was identified as the top variable most frequently (n=</w:t>
      </w:r>
      <w:r>
        <w:rPr>
          <w:i/>
        </w:rPr>
        <w:t xml:space="preserve">6 of 9</w:t>
      </w:r>
      <w:r>
        <w:t xml:space="preserve"> </w:t>
      </w:r>
      <w:r>
        <w:t xml:space="preserve">sites), but it was not uncommon that it was surpassed by precipitation frequency (</w:t>
      </w:r>
      <m:oMath>
        <m:r>
          <m:t>P</m:t>
        </m:r>
        <m:r>
          <m:t>D</m:t>
        </m:r>
        <m:r>
          <m:t>F</m:t>
        </m:r>
      </m:oMath>
      <w:r>
        <w:t xml:space="preserve">; n=</w:t>
      </w:r>
      <w:r>
        <w:rPr>
          <w:i/>
        </w:rPr>
        <w:t xml:space="preserve">3 of 8</w:t>
      </w:r>
      <w:r>
        <w:t xml:space="preserve"> </w:t>
      </w:r>
      <w:r>
        <w:t xml:space="preserve">sites).</w:t>
      </w:r>
      <w:r>
        <w:t xml:space="preserve"> </w:t>
      </w:r>
      <w:r>
        <w:t xml:space="preserve">Optimal time windows often coincided with a site’s peak growing season (n=</w:t>
      </w:r>
      <w:r>
        <w:t xml:space="preserve"> </w:t>
      </w:r>
      <w:r>
        <w:rPr>
          <w:i/>
        </w:rPr>
        <w:t xml:space="preserve"># of 10</w:t>
      </w:r>
      <w:r>
        <w:t xml:space="preserve"> </w:t>
      </w:r>
      <w:r>
        <w:t xml:space="preserve">for temperature variables,</w:t>
      </w:r>
      <w:r>
        <w:t xml:space="preserve"> </w:t>
      </w:r>
      <w:r>
        <w:rPr>
          <w:i/>
        </w:rPr>
        <w:t xml:space="preserve"># of 10</w:t>
      </w:r>
      <w:r>
        <w:t xml:space="preserve"> </w:t>
      </w:r>
      <w:r>
        <w:t xml:space="preserve">for precipitation variables), but exceptions were common.</w:t>
      </w:r>
      <w:r>
        <w:t xml:space="preserve"> </w:t>
      </w:r>
      <w:r>
        <w:t xml:space="preserve">At the</w:t>
      </w:r>
      <w:r>
        <w:t xml:space="preserve"> </w:t>
      </w:r>
      <w:r>
        <w:rPr>
          <w:i/>
        </w:rPr>
        <w:t xml:space="preserve">5 lowest latitude</w:t>
      </w:r>
      <w:r>
        <w:t xml:space="preserve"> </w:t>
      </w:r>
      <w:r>
        <w:t xml:space="preserve">sites (BCI, HKK, LT, CB, and SCBI), the optimal window for precipitation variables spanned</w:t>
      </w:r>
      <w:r>
        <w:t xml:space="preserve"> </w:t>
      </w:r>
      <m:oMath>
        <m:r>
          <m:t>≥</m:t>
        </m:r>
      </m:oMath>
      <w:r>
        <w:t xml:space="preserve"> </w:t>
      </w:r>
      <w:r>
        <w:t xml:space="preserve">8 months, ending during the peak growing months of the year of ring formation.</w:t>
      </w:r>
      <w:r>
        <w:t xml:space="preserve"> </w:t>
      </w:r>
      <w:r>
        <w:t xml:space="preserve">At the</w:t>
      </w:r>
      <w:r>
        <w:t xml:space="preserve"> </w:t>
      </w:r>
      <w:r>
        <w:rPr>
          <w:i/>
        </w:rPr>
        <w:t xml:space="preserve">3 highest latitude sites</w:t>
      </w:r>
      <w:r>
        <w:t xml:space="preserve"> </w:t>
      </w:r>
      <w:r>
        <w:t xml:space="preserve">(HF, ZOF, and SC), the optimal window for precipitation variables was a short (</w:t>
      </w:r>
      <m:oMath>
        <m:r>
          <m:t>≤</m:t>
        </m:r>
      </m:oMath>
      <w:r>
        <w:t xml:space="preserve"> </w:t>
      </w:r>
      <w:r>
        <w:t xml:space="preserve">3 months) window during the previous growing season.</w:t>
      </w:r>
      <w:r>
        <w:t xml:space="preserve"> </w:t>
      </w:r>
      <w:r>
        <w:t xml:space="preserve">Optimal windows for temperature variables tended to be shorter, the longest being a</w:t>
      </w:r>
      <w:r>
        <w:t xml:space="preserve"> </w:t>
      </w:r>
      <w:r>
        <w:rPr>
          <w:i/>
        </w:rPr>
        <w:t xml:space="preserve">6</w:t>
      </w:r>
      <w:r>
        <w:t xml:space="preserve">-month period during the summer (wet season) at HKK.</w:t>
      </w:r>
      <w:r>
        <w:t xml:space="preserve"> </w:t>
      </w:r>
      <w:r>
        <w:t xml:space="preserve">At two of the higher-latitude temperate sites (HF and Žofín), temperatures were most influential during late winter/ early spring.</w:t>
      </w:r>
      <w:r>
        <w:t xml:space="preserve"> </w:t>
      </w:r>
      <w:r>
        <w:t xml:space="preserve">There were also a few instances where previous growing season conditions had the strongest influence.</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8"/>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rPr>
          <w:b/>
        </w:rPr>
        <w:t xml:space="preserve">Across the three metrics of growth, the</w:t>
      </w:r>
      <w:r>
        <w:rPr>
          <w:b/>
        </w:rPr>
        <w:t xml:space="preserve"> </w:t>
      </w:r>
      <w:r>
        <w:rPr>
          <w:b/>
        </w:rPr>
        <w:t xml:space="preserve">“</w:t>
      </w:r>
      <w:r>
        <w:rPr>
          <w:b/>
        </w:rPr>
        <w:t xml:space="preserve">landscape</w:t>
      </w:r>
      <w:r>
        <w:rPr>
          <w:b/>
        </w:rPr>
        <w:t xml:space="preserve">”</w:t>
      </w:r>
      <w:r>
        <w:rPr>
          <w:b/>
        </w:rPr>
        <w:t xml:space="preserve"> </w:t>
      </w:r>
      <w:r>
        <w:rPr>
          <w:b/>
        </w:rPr>
        <w:t xml:space="preserve">of climate effects over various time windows was generally similar, but the optimal time window or even the top climate variable sometimes differed (Figs.</w:t>
      </w:r>
      <w:r>
        <w:rPr>
          <w:b/>
        </w:rPr>
        <w:t xml:space="preserve"> </w:t>
      </w:r>
      <w:r>
        <w:t xml:space="preserve">S2</w:t>
      </w:r>
      <w:r>
        <w:rPr>
          <w:b/>
        </w:rPr>
        <w:t xml:space="preserve">-</w:t>
      </w:r>
      <w:r>
        <w:t xml:space="preserve">S4</w:t>
      </w:r>
      <w:r>
        <w:rPr>
          <w:b/>
        </w:rPr>
        <w:t xml:space="preserve">).</w:t>
      </w:r>
      <w:r>
        <w:t xml:space="preserve"> </w:t>
      </w:r>
      <w:r>
        <w:t xml:space="preserve">Specifically,</w:t>
      </w:r>
      <w:r>
        <w:t xml:space="preserve">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w:t>
      </w:r>
      <w:r>
        <w:t xml:space="preserve">consistently exhibited similar strength of correlation and direction of response to climate variables within the temperature and precipitation variable groups.</w:t>
      </w:r>
      <w:r>
        <w:t xml:space="preserve"> </w:t>
      </w:r>
      <w:r>
        <w:t xml:space="preserve">In some cases (n= # of #), both the optimal climate variable and time window were identical across growth metrics (e.g., Fig.</w:t>
      </w:r>
      <w:r>
        <w:t xml:space="preserve"> </w:t>
      </w:r>
      <w:r>
        <w:rPr>
          <w:b/>
        </w:rPr>
        <w:t xml:space="preserve">S2</w:t>
      </w:r>
      <w:r>
        <w:t xml:space="preserve">).</w:t>
      </w:r>
      <w:r>
        <w:t xml:space="preserve"> </w:t>
      </w:r>
      <w:r>
        <w:t xml:space="preserve">In #cases,</w:t>
      </w:r>
      <w:r>
        <w:t xml:space="preserve"> </w:t>
      </w:r>
      <w:r>
        <w:rPr>
          <w:i/>
        </w:rPr>
        <w:t xml:space="preserve">climwin</w:t>
      </w:r>
      <w:r>
        <w:t xml:space="preserve"> </w:t>
      </w:r>
      <w:r>
        <w:t xml:space="preserve">identified the same climate variable but different (sometimes overlapping) time windows.</w:t>
      </w:r>
      <w:r>
        <w:t xml:space="preserve"> </w:t>
      </w:r>
      <w:r>
        <w:t xml:space="preserve">In</w:t>
      </w:r>
      <w:r>
        <w:t xml:space="preserve"> </w:t>
      </w:r>
      <w:r>
        <w:rPr>
          <w:i/>
        </w:rPr>
        <w:t xml:space="preserve">2</w:t>
      </w:r>
      <w:r>
        <w:t xml:space="preserve"> </w:t>
      </w:r>
      <w:r>
        <w:t xml:space="preserve">cases (precipitation variable group at LT, temperature variable group at HKK),</w:t>
      </w:r>
      <w:r>
        <w:t xml:space="preserve"> </w:t>
      </w:r>
      <w:r>
        <w:rPr>
          <w:i/>
        </w:rPr>
        <w:t xml:space="preserve">climwin</w:t>
      </w:r>
      <w:r>
        <w:t xml:space="preserve"> </w:t>
      </w:r>
      <w:r>
        <w:t xml:space="preserve">identified different climate variables, but identical or overlapping time windows (e.g., Fig.</w:t>
      </w:r>
      <w:r>
        <w:t xml:space="preserve"> </w:t>
      </w:r>
      <w:r>
        <w:rPr>
          <w:b/>
        </w:rPr>
        <w:t xml:space="preserve">S3</w:t>
      </w:r>
      <w:r>
        <w:t xml:space="preserve">).</w:t>
      </w:r>
      <w:r>
        <w:t xml:space="preserve"> </w:t>
      </w:r>
      <w:r>
        <w:t xml:space="preserve">Finally, in</w:t>
      </w:r>
      <w:r>
        <w:t xml:space="preserve"> </w:t>
      </w:r>
      <w:r>
        <w:rPr>
          <w:i/>
        </w:rPr>
        <w:t xml:space="preserve">2</w:t>
      </w:r>
      <w:r>
        <w:t xml:space="preserve"> </w:t>
      </w:r>
      <w:r>
        <w:t xml:space="preserve">cases of variables that had only weak effects and mixed responses among species in the final models (temperature variable group at BCI, precipitation variable group at HF; Figs. 3,</w:t>
      </w:r>
      <w:r>
        <w:t xml:space="preserve"> </w:t>
      </w:r>
      <w:r>
        <w:rPr>
          <w:b/>
        </w:rPr>
        <w:t xml:space="preserve">S5, S11</w:t>
      </w:r>
      <w:r>
        <w:t xml:space="preserve">),</w:t>
      </w:r>
      <w:r>
        <w:t xml:space="preserve"> </w:t>
      </w:r>
      <w:r>
        <w:rPr>
          <w:i/>
        </w:rPr>
        <w:t xml:space="preserve">climwin</w:t>
      </w:r>
      <w:r>
        <w:t xml:space="preserve"> </w:t>
      </w:r>
      <w:r>
        <w:t xml:space="preserve">identified different climate variables and different time windows (e.g., Fig.</w:t>
      </w:r>
      <w:r>
        <w:t xml:space="preserve"> </w:t>
      </w:r>
      <w:r>
        <w:rPr>
          <w:b/>
        </w:rPr>
        <w:t xml:space="preserve">S4</w:t>
      </w:r>
      <w:r>
        <w:t xml:space="preserve">).</w:t>
      </w:r>
      <w:r>
        <w:t xml:space="preserve"> </w:t>
      </w:r>
      <w:r>
        <w:t xml:space="preserve">Henceforth, we focus on the climate drivers identified when</w:t>
      </w:r>
      <w:r>
        <w:t xml:space="preserve"> </w:t>
      </w:r>
      <m:oMath>
        <m:r>
          <m:t>R</m:t>
        </m:r>
        <m:r>
          <m:t>W</m:t>
        </m:r>
      </m:oMath>
      <w:r>
        <w:t xml:space="preserve"> </w:t>
      </w:r>
      <w:r>
        <w:t xml:space="preserve">was the growth metric and for the full set of cores (i.e., including those for which</w:t>
      </w:r>
      <w:r>
        <w:t xml:space="preserve"> </w:t>
      </w:r>
      <m:oMath>
        <m:r>
          <m:t>D</m:t>
        </m:r>
        <m:r>
          <m:t>B</m:t>
        </m:r>
        <m:r>
          <m:t>H</m:t>
        </m:r>
      </m:oMath>
      <w:r>
        <w:t xml:space="preserve"> </w:t>
      </w:r>
      <w:r>
        <w:t xml:space="preserve">could not be reconstructed.)</w:t>
      </w:r>
    </w:p>
    <w:p>
      <w:pPr>
        <w:pStyle w:val="CaptionedFigure"/>
      </w:pPr>
      <w:r>
        <w:drawing>
          <wp:inline>
            <wp:extent cx="5943600" cy="7429499"/>
            <wp:effectExtent b="0" l="0" r="0" t="0"/>
            <wp:docPr descr="Figure 3 | Species-level responses of RW to climwin-selected variables in precipitation and temperature variable groups.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t xml:space="preserve">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w:t>
      </w:r>
    </w:p>
    <w:bookmarkEnd w:id="40"/>
    <w:bookmarkStart w:id="41" w:name="climate-sensitivity"/>
    <w:p>
      <w:pPr>
        <w:pStyle w:val="Heading3"/>
      </w:pPr>
      <w:r>
        <w:t xml:space="preserve">Climate sensitivity</w:t>
      </w:r>
    </w:p>
    <w:p>
      <w:pPr>
        <w:pStyle w:val="FirstParagraph"/>
      </w:pPr>
      <w:r>
        <w:t xml:space="preserve">Precipitation responses were included in the best model at all sites and</w:t>
      </w:r>
      <w:r>
        <w:t xml:space="preserve"> </w:t>
      </w:r>
      <w:r>
        <w:rPr>
          <w:i/>
        </w:rPr>
        <w:t xml:space="preserve">for all but # species</w:t>
      </w:r>
      <w:r>
        <w:t xml:space="preserve"> </w:t>
      </w:r>
      <w:r>
        <w:t xml:space="preserve">(Fig. 3).</w:t>
      </w:r>
      <w:r>
        <w:t xml:space="preserve"> </w:t>
      </w:r>
      <w:r>
        <w:t xml:space="preserve">Responses were most commonly positive, and were most pronounced at the driest site (LT).</w:t>
      </w:r>
      <w:r>
        <w:t xml:space="preserve"> </w:t>
      </w:r>
      <w:r>
        <w:t xml:space="preserve">Precipitation terms included in top models were non-linear #% of the time, and significantly better than first-order linear model #% of the time.</w:t>
      </w:r>
      <w:r>
        <w:t xml:space="preserve"> </w:t>
      </w:r>
      <w:r>
        <w:t xml:space="preserve">In some cases, the non-linearity was quite pronounced (e.g., LT), with the most common pattern (#%) being a decelerating increase.</w:t>
      </w:r>
    </w:p>
    <w:p>
      <w:pPr>
        <w:pStyle w:val="BodyText"/>
      </w:pPr>
      <w:r>
        <w:t xml:space="preserve">Temperature responses were included in the best model at all sites and</w:t>
      </w:r>
      <w:r>
        <w:t xml:space="preserve"> </w:t>
      </w:r>
      <w:r>
        <w:rPr>
          <w:i/>
        </w:rPr>
        <w:t xml:space="preserve">for the majority of species</w:t>
      </w:r>
      <w:r>
        <w:t xml:space="preserve"> </w:t>
      </w:r>
      <w:r>
        <w:t xml:space="preserve">(Fig. 3).</w:t>
      </w:r>
      <w:r>
        <w:t xml:space="preserve"> </w:t>
      </w:r>
      <w:r>
        <w:t xml:space="preserve">Specifically, a temperature term was included in the best model for # of # site-species combinations, with at least one polynomial term significant for #, and both for #.</w:t>
      </w:r>
      <w:r>
        <w:t xml:space="preserve"> </w:t>
      </w:r>
      <w:r>
        <w:t xml:space="preserve">Among the relationships with at least one significant term, responses shifted from near-universally negative below 40</w:t>
      </w:r>
      <m:oMath>
        <m:sSup>
          <m:e>
            <m:r>
              <m:t>​</m:t>
            </m:r>
          </m:e>
          <m:sup>
            <m:r>
              <m:t>∘</m:t>
            </m:r>
          </m:sup>
        </m:sSup>
      </m:oMath>
      <w:r>
        <w:t xml:space="preserve"> </w:t>
      </w:r>
      <w:r>
        <w:t xml:space="preserve">latitude (exception: AFXY at HKK) to positive above 45</w:t>
      </w:r>
      <m:oMath>
        <m:sSup>
          <m:e>
            <m:r>
              <m:t>​</m:t>
            </m:r>
          </m:e>
          <m:sup>
            <m:r>
              <m:t>∘</m:t>
            </m:r>
          </m:sup>
        </m:sSup>
      </m:oMath>
      <w:r>
        <w:t xml:space="preserve"> </w:t>
      </w:r>
      <w:r>
        <w:t xml:space="preserve">latitude. Harvard Forest, at 42.5</w:t>
      </w:r>
      <m:oMath>
        <m:sSup>
          <m:e>
            <m:r>
              <m:t>​</m:t>
            </m:r>
          </m:e>
          <m:sup>
            <m:r>
              <m:t>∘</m:t>
            </m:r>
          </m:sup>
        </m:sSup>
      </m:oMath>
      <w:r>
        <w:t xml:space="preserve"> </w:t>
      </w:r>
      <w:r>
        <w:t xml:space="preserve">N, exhibited a mix of responses.</w:t>
      </w:r>
      <w:r>
        <w:t xml:space="preserve"> </w:t>
      </w:r>
      <w:r>
        <w:rPr>
          <w:i/>
        </w:rPr>
        <w:t xml:space="preserve">(It will be interesting to see what happens with Indian Creek, at 42.8 latitude.)</w:t>
      </w:r>
      <w:r>
        <w:t xml:space="preserve"> </w:t>
      </w:r>
      <w:r>
        <w:rPr>
          <w:i/>
        </w:rPr>
        <w:t xml:space="preserve">(Note that Scotty Creek was previously positive, later shifted negative;</w:t>
      </w:r>
      <w:r>
        <w:rPr>
          <w:i/>
        </w:rPr>
        <w:t xml:space="preserve"> </w:t>
      </w:r>
      <w:hyperlink r:id="rId31">
        <w:r>
          <w:rPr>
            <w:rStyle w:val="Hyperlink"/>
            <w:i/>
          </w:rPr>
          <w:t xml:space="preserve">ISSUE #25 in ForestGEO-climate-sensitivity</w:t>
        </w:r>
      </w:hyperlink>
      <w:r>
        <w:rPr>
          <w:i/>
        </w:rPr>
        <w:t xml:space="preserve">)</w:t>
      </w:r>
      <w:r>
        <w:t xml:space="preserve"> </w:t>
      </w:r>
      <w:r>
        <w:t xml:space="preserve">Temperature terms included in top models were non-linear #%</w:t>
      </w:r>
      <w:r>
        <w:t xml:space="preserve"> </w:t>
      </w:r>
      <w:r>
        <w:rPr>
          <w:i/>
        </w:rPr>
        <w:t xml:space="preserve">(most)</w:t>
      </w:r>
      <w:r>
        <w:t xml:space="preserve"> </w:t>
      </w:r>
      <w:r>
        <w:t xml:space="preserve">of the time, and significantly better than first-order linear model #% of the time.</w:t>
      </w:r>
    </w:p>
    <w:bookmarkEnd w:id="41"/>
    <w:bookmarkStart w:id="43" w:name="influence-of-dbh"/>
    <w:p>
      <w:pPr>
        <w:pStyle w:val="Heading3"/>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While</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the majority of species-site combinations (n= # of #; Table</w:t>
      </w:r>
      <w:r>
        <w:t xml:space="preserve"> </w:t>
      </w:r>
      <w:r>
        <w:rPr>
          <w:b/>
        </w:rPr>
        <w:t xml:space="preserve">S#</w:t>
      </w:r>
      <w:r>
        <w:t xml:space="preserve">), there was substantial variation in these trends, with patterns mixed across both forests and species within a single stand (Fig. 4).</w:t>
      </w:r>
      <w:r>
        <w:t xml:space="preserve"> </w:t>
      </w:r>
      <w:r>
        <w:t xml:space="preserve">On one end of the spectrum,</w:t>
      </w:r>
      <w:r>
        <w:t xml:space="preserve"> </w:t>
      </w:r>
      <w:r>
        <w:rPr>
          <w:i/>
        </w:rPr>
        <w:t xml:space="preserve">Melia azedarach</w:t>
      </w:r>
      <w:r>
        <w:t xml:space="preserve"> </w:t>
      </w:r>
      <w:r>
        <w:t xml:space="preserve">at HKK had extremely rapid growth at small</w:t>
      </w:r>
      <w:r>
        <w:t xml:space="preserve"> </w:t>
      </w:r>
      <m:oMath>
        <m:r>
          <m:t>D</m:t>
        </m:r>
        <m:r>
          <m:t>B</m:t>
        </m:r>
        <m:r>
          <m:t>H</m:t>
        </m:r>
      </m:oMath>
      <w:r>
        <w:t xml:space="preserve">, with</w:t>
      </w:r>
      <w:r>
        <w:t xml:space="preserve"> </w:t>
      </w:r>
      <m:oMath>
        <m:r>
          <m:t>R</m:t>
        </m:r>
        <m:r>
          <m:t>W</m:t>
        </m:r>
      </m:oMath>
      <w:r>
        <w:t xml:space="preserve"> </w:t>
      </w:r>
      <w:r>
        <w:t xml:space="preserve">ranging up to ~15mm yr</w:t>
      </w:r>
      <w:r>
        <w:rPr>
          <w:vertAlign w:val="superscript"/>
        </w:rPr>
        <w:t xml:space="preserve">-1</w:t>
      </w:r>
      <w:r>
        <w:t xml:space="preserve">, followed by fairly rapid declines with increasing</w:t>
      </w:r>
      <w:r>
        <w:t xml:space="preserve"> </w:t>
      </w:r>
      <m:oMath>
        <m:r>
          <m:t>D</m:t>
        </m:r>
        <m:r>
          <m:t>B</m:t>
        </m:r>
        <m:r>
          <m:t>H</m:t>
        </m:r>
      </m:oMath>
      <w:r>
        <w:t xml:space="preserve">.</w:t>
      </w:r>
      <w:r>
        <w:t xml:space="preserve"> </w:t>
      </w:r>
      <w:r>
        <w:t xml:space="preserve">Similar patterns of approximately exponential decline in</w:t>
      </w:r>
      <w:r>
        <w:t xml:space="preserve"> </w:t>
      </w:r>
      <m:oMath>
        <m:r>
          <m:t>R</m:t>
        </m:r>
        <m:r>
          <m:t>W</m:t>
        </m:r>
      </m:oMath>
      <w:r>
        <w:t xml:space="preserve"> </w:t>
      </w:r>
      <w:r>
        <w:t xml:space="preserve">with</w:t>
      </w:r>
      <w:r>
        <w:t xml:space="preserve"> </w:t>
      </w:r>
      <m:oMath>
        <m:r>
          <m:t>D</m:t>
        </m:r>
        <m:r>
          <m:t>B</m:t>
        </m:r>
        <m:r>
          <m:t>H</m:t>
        </m:r>
      </m:oMath>
      <w:r>
        <w:t xml:space="preserve"> </w:t>
      </w:r>
      <w:r>
        <w:t xml:space="preserve">were observed for conifer species at Little Tesuque and Scotty Creek–both relatively open forests–and a number of species in mesic temperate forests (Fig. 4).</w:t>
      </w:r>
      <w:r>
        <w:t xml:space="preserve"> </w:t>
      </w:r>
      <w:r>
        <w:t xml:space="preserve">At the other end of the spectrum, a number of species at sites where they presumably established under closed-canopy conditions (e.g.,</w:t>
      </w:r>
      <w:r>
        <w:t xml:space="preserve"> </w:t>
      </w:r>
      <w:r>
        <w:rPr>
          <w:i/>
        </w:rPr>
        <w:t xml:space="preserve">Fagus</w:t>
      </w:r>
      <w:r>
        <w:t xml:space="preserve"> </w:t>
      </w:r>
      <w:r>
        <w:t xml:space="preserve">at SCBI and Žofín) had</w:t>
      </w:r>
      <w:r>
        <w:t xml:space="preserve"> </w:t>
      </w:r>
      <m:oMath>
        <m:r>
          <m:t>R</m:t>
        </m:r>
        <m:r>
          <m:t>W</m:t>
        </m:r>
      </m:oMath>
      <w:r>
        <w:t xml:space="preserve"> </w:t>
      </w:r>
      <w:r>
        <w:t xml:space="preserve">&lt;1 mm yr</w:t>
      </w:r>
      <w:r>
        <w:rPr>
          <w:vertAlign w:val="superscript"/>
        </w:rPr>
        <w:t xml:space="preserve">-1</w:t>
      </w:r>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between # and # cm</w:t>
      </w:r>
      <w:r>
        <w:t xml:space="preserve"> </w:t>
      </w:r>
      <m:oMath>
        <m:r>
          <m:t>D</m:t>
        </m:r>
        <m:r>
          <m:t>B</m:t>
        </m:r>
        <m:r>
          <m:t>H</m:t>
        </m:r>
      </m:oMath>
      <w:r>
        <w:t xml:space="preserve">, and subsequently declined.</w:t>
      </w:r>
    </w:p>
    <w:p>
      <w:pPr>
        <w:pStyle w:val="BodyText"/>
      </w:pPr>
      <w:r>
        <w:rPr>
          <w:b/>
        </w:rPr>
        <w:t xml:space="preserve">The variable patterns in</w:t>
      </w:r>
      <w:r>
        <w:rPr>
          <w:b/>
        </w:rPr>
        <w:t xml:space="preserve"> </w:t>
      </w:r>
      <m:oMath>
        <m:r>
          <m:t>R</m:t>
        </m:r>
        <m:r>
          <m:t>W</m:t>
        </m:r>
      </m:oMath>
      <w:r>
        <w:rPr>
          <w:b/>
        </w:rPr>
        <w:t xml:space="preserve"> </w:t>
      </w:r>
      <w:r>
        <w:rPr>
          <w:b/>
        </w:rPr>
        <w:t xml:space="preserve">with</w:t>
      </w:r>
      <w:r>
        <w:rPr>
          <w:b/>
        </w:rPr>
        <w:t xml:space="preserve"> </w:t>
      </w:r>
      <m:oMath>
        <m:r>
          <m:t>D</m:t>
        </m:r>
        <m:r>
          <m:t>B</m:t>
        </m:r>
        <m:r>
          <m:t>H</m:t>
        </m:r>
      </m:oMath>
      <w:r>
        <w:rPr>
          <w:b/>
        </w:rPr>
        <w:t xml:space="preserve"> </w:t>
      </w:r>
      <w:r>
        <w:rPr>
          <w:b/>
        </w:rPr>
        <w:t xml:space="preserve">translated into differences in variation in</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with</w:t>
      </w:r>
      <w:r>
        <w:rPr>
          <w:b/>
        </w:rPr>
        <w:t xml:space="preserve"> </w:t>
      </w:r>
      <m:oMath>
        <m:r>
          <m:t>D</m:t>
        </m:r>
        <m:r>
          <m:t>B</m:t>
        </m:r>
        <m:r>
          <m:t>H</m:t>
        </m:r>
      </m:oMath>
      <w:r>
        <w:rPr>
          <w:b/>
        </w:rPr>
        <w:t xml:space="preserve">, although trends in both of these were more consistent across sites and species, typically increasing to a peak at intermediate</w:t>
      </w:r>
      <w:r>
        <w:rPr>
          <w:b/>
        </w:rPr>
        <w:t xml:space="preserve"> </w:t>
      </w:r>
      <m:oMath>
        <m:r>
          <m:t>D</m:t>
        </m:r>
        <m:r>
          <m:t>B</m:t>
        </m:r>
        <m:r>
          <m:t>H</m:t>
        </m:r>
      </m:oMath>
      <w:r>
        <w:rPr>
          <w:b/>
        </w:rPr>
        <w:t xml:space="preserve"> </w:t>
      </w:r>
      <w:r>
        <w:rPr>
          <w:b/>
        </w:rPr>
        <w:t xml:space="preserve">and then declining (Fig. 4).</w:t>
      </w:r>
    </w:p>
    <w:p>
      <w:pPr>
        <w:pStyle w:val="CaptionedFigure"/>
      </w:pPr>
      <w:r>
        <w:drawing>
          <wp:inline>
            <wp:extent cx="5943600" cy="7429499"/>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2"/>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3"/>
    <w:bookmarkStart w:id="45" w:name="X1720e04d5cd11c20c4a7d722aa4f526447127ea"/>
    <w:p>
      <w:pPr>
        <w:pStyle w:val="Heading3"/>
      </w:pPr>
      <w:r>
        <w:t xml:space="preserve">Additive and interactive effects of climate and DBH</w:t>
      </w:r>
    </w:p>
    <w:p>
      <w:pPr>
        <w:pStyle w:val="FirstParagraph"/>
      </w:pPr>
      <w:r>
        <w:rPr>
          <w:b/>
        </w:rPr>
        <w:t xml:space="preserve">Both DBH and climate were included in the majority of top models, regardless of the growth metric used.</w:t>
      </w:r>
      <w:r>
        <w:t xml:space="preserve"> </w:t>
      </w:r>
      <w:r>
        <w:t xml:space="preserve">Specifically,</w:t>
      </w:r>
      <w:r>
        <w:t xml:space="preserve"> </w:t>
      </w:r>
      <m:oMath>
        <m:r>
          <m:t>D</m:t>
        </m:r>
        <m:r>
          <m:t>B</m:t>
        </m:r>
        <m:r>
          <m:t>H</m:t>
        </m:r>
      </m:oMath>
      <w:r>
        <w:t xml:space="preserve"> </w:t>
      </w:r>
      <w:r>
        <w:t xml:space="preserve">was included in #% of top models for</w:t>
      </w:r>
      <w:r>
        <w:t xml:space="preserve"> </w:t>
      </w:r>
      <m:oMath>
        <m:r>
          <m:t>R</m:t>
        </m:r>
        <m:r>
          <m:t>W</m:t>
        </m:r>
      </m:oMath>
      <w:r>
        <w:t xml:space="preserve">, #% of top models for</w:t>
      </w:r>
      <w:r>
        <w:t xml:space="preserve"> </w:t>
      </w:r>
      <m:oMath>
        <m:r>
          <m:t>B</m:t>
        </m:r>
        <m:r>
          <m:t>A</m:t>
        </m:r>
        <m:r>
          <m:t>I</m:t>
        </m:r>
      </m:oMath>
      <w:r>
        <w:t xml:space="preserve">, and #% of top models for</w:t>
      </w:r>
      <w:r>
        <w:t xml:space="preserve"> </w:t>
      </w:r>
      <m:oMath>
        <m:r>
          <m:t>Δ</m:t>
        </m:r>
        <m:r>
          <m:t>A</m:t>
        </m:r>
        <m:r>
          <m:t>G</m:t>
        </m:r>
        <m:r>
          <m:t>B</m:t>
        </m:r>
      </m:oMath>
      <w:r>
        <w:t xml:space="preserve">.</w:t>
      </w:r>
      <w:r>
        <w:t xml:space="preserve"> </w:t>
      </w:r>
      <w:r>
        <w:t xml:space="preserve">In general,</w:t>
      </w:r>
      <w:r>
        <w:t xml:space="preserve"> </w:t>
      </w:r>
      <m:oMath>
        <m:r>
          <m:t>D</m:t>
        </m:r>
        <m:r>
          <m:t>B</m:t>
        </m:r>
        <m:r>
          <m:t>H</m:t>
        </m:r>
      </m:oMath>
      <w:r>
        <w:t xml:space="preserve"> </w:t>
      </w:r>
      <w:r>
        <w:t xml:space="preserve">explained more variation in growth rates than did climate (Fig. 5).</w:t>
      </w:r>
    </w:p>
    <w:p>
      <w:pPr>
        <w:pStyle w:val="BodyText"/>
      </w:pPr>
      <w:r>
        <w:rPr>
          <w:b/>
        </w:rPr>
        <w:t xml:space="preserve">The relative importance of</w:t>
      </w:r>
      <w:r>
        <w:rPr>
          <w:b/>
        </w:rPr>
        <w:t xml:space="preserve"> </w:t>
      </w:r>
      <m:oMath>
        <m:r>
          <m:t>D</m:t>
        </m:r>
        <m:r>
          <m:t>B</m:t>
        </m:r>
        <m:r>
          <m:t>H</m:t>
        </m:r>
      </m:oMath>
      <w:r>
        <w:rPr>
          <w:b/>
        </w:rPr>
        <w:t xml:space="preserve"> </w:t>
      </w:r>
      <w:r>
        <w:rPr>
          <w:b/>
        </w:rPr>
        <w:t xml:space="preserve">and climate shifted across growth metrics and climates (Figs. 5,</w:t>
      </w:r>
      <w:r>
        <w:rPr>
          <w:b/>
        </w:rPr>
        <w:t xml:space="preserve"> </w:t>
      </w:r>
      <w:r>
        <w:t xml:space="preserve">S5</w:t>
      </w:r>
      <w:r>
        <w:rPr>
          <w:b/>
        </w:rPr>
        <w:t xml:space="preserve">-</w:t>
      </w:r>
      <w:r>
        <w:t xml:space="preserve">S14</w:t>
      </w:r>
      <w:r>
        <w:rPr>
          <w:b/>
        </w:rPr>
        <w:t xml:space="preserve">).</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5).</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at Little Tesuque; Fig. 5).</w:t>
      </w:r>
      <w:r>
        <w:t xml:space="preserve"> </w:t>
      </w:r>
      <w:r>
        <w:t xml:space="preserve">The relative importance of climate was modest at sites including SCBI (Fig. 5), HF (Fig.</w:t>
      </w:r>
      <w:r>
        <w:t xml:space="preserve"> </w:t>
      </w:r>
      <w:r>
        <w:rPr>
          <w:b/>
        </w:rPr>
        <w:t xml:space="preserve">S11</w:t>
      </w:r>
      <w:r>
        <w:t xml:space="preserve">), and SC (Fig.</w:t>
      </w:r>
      <w:r>
        <w:t xml:space="preserve"> </w:t>
      </w:r>
      <w:r>
        <w:rPr>
          <w:b/>
        </w:rPr>
        <w:t xml:space="preserve">S14</w:t>
      </w:r>
      <w:r>
        <w:t xml:space="preserve">), and stronger at sites including LT (Fig. 5) and BCI (Fig.</w:t>
      </w:r>
      <w:r>
        <w:t xml:space="preserve"> </w:t>
      </w:r>
      <w:r>
        <w:rPr>
          <w:b/>
        </w:rPr>
        <w:t xml:space="preserve">S5</w:t>
      </w:r>
      <w:r>
        <w:t xml:space="preserve">).</w:t>
      </w:r>
    </w:p>
    <w:p>
      <w:pPr>
        <w:pStyle w:val="CaptionedFigure"/>
      </w:pPr>
      <w:r>
        <w:drawing>
          <wp:inline>
            <wp:extent cx="5943600" cy="4754880"/>
            <wp:effectExtent b="0" l="0" r="0" t="0"/>
            <wp:docPr descr="Figure 5 | Comparison of full top models for each growth metric (RW, BAI, \Delta AGB) at sites where climatic controls are strong (Little Tesuque, left panel) and modest (SCBI, right panel). 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title="" id="1" name="Picture"/>
            <a:graphic>
              <a:graphicData uri="http://schemas.openxmlformats.org/drawingml/2006/picture">
                <pic:pic>
                  <pic:nvPicPr>
                    <pic:cNvPr descr="tables_figures/show_case_response_plots.png" id="0" name="Picture"/>
                    <pic:cNvPicPr>
                      <a:picLocks noChangeArrowheads="1" noChangeAspect="1"/>
                    </pic:cNvPicPr>
                  </pic:nvPicPr>
                  <pic:blipFill>
                    <a:blip r:embed="rId4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5 | Comparison of full top models for each growth metric (</w:t>
      </w:r>
      <m:oMath>
        <m:r>
          <m:t>R</m:t>
        </m:r>
        <m:r>
          <m:t>W</m:t>
        </m:r>
      </m:oMath>
      <w:r>
        <w:rPr>
          <w:b/>
        </w:rPr>
        <w:t xml:space="preserve">,</w:t>
      </w:r>
      <w:r>
        <w:rPr>
          <w:b/>
        </w:rPr>
        <w:t xml:space="preserve"> </w:t>
      </w:r>
      <m:oMath>
        <m:r>
          <m:t>B</m:t>
        </m:r>
        <m:r>
          <m:t>A</m:t>
        </m:r>
        <m:r>
          <m:t>I</m:t>
        </m:r>
      </m:oMath>
      <w:r>
        <w:rPr>
          <w:b/>
        </w:rPr>
        <w:t xml:space="preserve">,</w:t>
      </w:r>
      <w:r>
        <w:rPr>
          <w:b/>
        </w:rPr>
        <w:t xml:space="preserve"> </w:t>
      </w:r>
      <m:oMath>
        <m:r>
          <m:t>Δ</m:t>
        </m:r>
        <m:r>
          <m:t>A</m:t>
        </m:r>
        <m:r>
          <m:t>G</m:t>
        </m:r>
        <m:r>
          <m:t>B</m:t>
        </m:r>
      </m:oMath>
      <w:r>
        <w:rPr>
          <w:b/>
        </w:rPr>
        <w:t xml:space="preserve">) at sites where climatic controls are strong (Little Tesuque, left panel) and modest (SCBI, right panel).</w:t>
      </w:r>
      <w:r>
        <w:t xml:space="preserve"> </w:t>
      </w:r>
      <w:r>
        <w:t xml:space="preserve">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w:t>
      </w:r>
    </w:p>
    <w:p>
      <w:pPr>
        <w:pStyle w:val="BodyText"/>
      </w:pPr>
      <w:r>
        <w:rPr>
          <w:b/>
        </w:rPr>
        <w:t xml:space="preserve">Interactive effects of</w:t>
      </w:r>
      <w:r>
        <w:rPr>
          <w:b/>
        </w:rPr>
        <w:t xml:space="preserve"> </w:t>
      </w:r>
      <m:oMath>
        <m:r>
          <m:t>D</m:t>
        </m:r>
        <m:r>
          <m:t>B</m:t>
        </m:r>
        <m:r>
          <m:t>H</m:t>
        </m:r>
      </m:oMath>
      <w:r>
        <w:rPr>
          <w:b/>
        </w:rPr>
        <w:t xml:space="preserve"> </w:t>
      </w:r>
      <w:r>
        <w:rPr>
          <w:b/>
        </w:rPr>
        <w:t xml:space="preserve">and climate were found for #% of species-variable combinations</w:t>
      </w:r>
      <w:r>
        <w:t xml:space="preserve">.</w:t>
      </w:r>
      <w:r>
        <w:t xml:space="preserve"> </w:t>
      </w:r>
      <w:r>
        <w:t xml:space="preserve">Interactions were significant for over half of</w:t>
      </w:r>
      <w:r>
        <w:t xml:space="preserve"> </w:t>
      </w:r>
      <m:oMath>
        <m:r>
          <m:t>D</m:t>
        </m:r>
        <m:r>
          <m:t>B</m:t>
        </m:r>
        <m:r>
          <m:t>H</m:t>
        </m:r>
      </m:oMath>
      <w:r>
        <w:t xml:space="preserve">-precipitation variable interactions for all three growth metrics (</w:t>
      </w:r>
      <w:r>
        <w:rPr>
          <w:i/>
        </w:rPr>
        <w:t xml:space="preserve">51% for all</w:t>
      </w:r>
      <w:r>
        <w:t xml:space="preserve">; Table S6).</w:t>
      </w:r>
      <w:r>
        <w:t xml:space="preserve"> </w:t>
      </w:r>
      <w:r>
        <w:t xml:space="preserve">The majority (#%) of these interactions were positive, indicating that larger trees generally respond more positively (or less negatively) to precipitation or it’s frequency (Fig.</w:t>
      </w:r>
      <w:r>
        <w:t xml:space="preserve"> </w:t>
      </w:r>
      <w:r>
        <w:rPr>
          <w:b/>
        </w:rPr>
        <w:t xml:space="preserve">6?</w:t>
      </w:r>
      <w:r>
        <w:t xml:space="preserve">).</w:t>
      </w:r>
      <w:r>
        <w:t xml:space="preserve"> </w:t>
      </w:r>
      <w:r>
        <w:t xml:space="preserve">Interactions between temperature variables and</w:t>
      </w:r>
      <w:r>
        <w:t xml:space="preserve"> </w:t>
      </w:r>
      <m:oMath>
        <m:r>
          <m:t>D</m:t>
        </m:r>
        <m:r>
          <m:t>B</m:t>
        </m:r>
        <m:r>
          <m:t>H</m:t>
        </m:r>
      </m:oMath>
      <w:r>
        <w:t xml:space="preserve"> </w:t>
      </w:r>
      <w:r>
        <w:t xml:space="preserve">were significant for</w:t>
      </w:r>
      <w:r>
        <w:t xml:space="preserve"> </w:t>
      </w:r>
      <w:r>
        <w:rPr>
          <w:i/>
        </w:rPr>
        <w:t xml:space="preserve">~40%</w:t>
      </w:r>
      <w:r>
        <w:t xml:space="preserve"> </w:t>
      </w:r>
      <w:r>
        <w:t xml:space="preserve">of cases considered (Table S6).</w:t>
      </w:r>
      <w:r>
        <w:t xml:space="preserve"> </w:t>
      </w:r>
      <w:r>
        <w:t xml:space="preserve">The majority (#%) of these interactions were positive, indicating that larger trees generally respond less negatively (or more positively) to</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t>
      </w:r>
      <w:r>
        <w:t xml:space="preserve">(Fig.</w:t>
      </w:r>
      <w:r>
        <w:t xml:space="preserve"> </w:t>
      </w:r>
      <w:r>
        <w:rPr>
          <w:b/>
        </w:rPr>
        <w:t xml:space="preserve">6?</w:t>
      </w:r>
      <w:r>
        <w:t xml:space="preserve">).</w:t>
      </w:r>
    </w:p>
    <w:p>
      <w:pPr>
        <w:pStyle w:val="BodyText"/>
      </w:pPr>
      <w:r>
        <w:rPr>
          <w:b/>
        </w:rPr>
        <w:t xml:space="preserve">figure on climate - DBH interactions?</w:t>
      </w:r>
      <w:r>
        <w:t xml:space="preserve"> </w:t>
      </w:r>
      <w:r>
        <w:t xml:space="preserve">(</w:t>
      </w:r>
      <w:r>
        <w:rPr>
          <w:i/>
        </w:rPr>
        <w:t xml:space="preserve">See</w:t>
      </w:r>
      <w:r>
        <w:rPr>
          <w:i/>
        </w:rPr>
        <w:t xml:space="preserve"> </w:t>
      </w:r>
      <w:hyperlink r:id="rId34">
        <w:r>
          <w:rPr>
            <w:rStyle w:val="Hyperlink"/>
            <w:i/>
          </w:rPr>
          <w:t xml:space="preserve">ISSUE #42 in ForestGEO-climate-sensitivity</w:t>
        </w:r>
      </w:hyperlink>
      <w:r>
        <w:t xml:space="preserve">)</w:t>
      </w:r>
    </w:p>
    <w:bookmarkEnd w:id="45"/>
    <w:bookmarkEnd w:id="46"/>
    <w:bookmarkStart w:id="52" w:name="discussion"/>
    <w:p>
      <w:pPr>
        <w:pStyle w:val="Heading1"/>
      </w:pPr>
      <w:r>
        <w:t xml:space="preserve">Discussion</w:t>
      </w:r>
    </w:p>
    <w:p>
      <w:pPr>
        <w:pStyle w:val="FirstParagraph"/>
      </w:pPr>
      <w:r>
        <w:rPr>
          <w:b/>
        </w:rPr>
        <w:t xml:space="preserve">We present a new method that allows simultaneous consideration of the effects of objectively determined principle climate drivers and tree size on annual growth.</w:t>
      </w:r>
      <w:r>
        <w:t xml:space="preserve"> </w:t>
      </w:r>
      <w:r>
        <w:t xml:space="preserve">Results are broadly consistent with those obtained by traditional methods, but offer several new insights.</w:t>
      </w:r>
    </w:p>
    <w:bookmarkStart w:id="47" w:name="Xed7df7d6e09152132899e19c662f8489c5056be"/>
    <w:p>
      <w:pPr>
        <w:pStyle w:val="Heading2"/>
      </w:pPr>
      <w:r>
        <w:t xml:space="preserve">corroboration of insight from conventional methods</w:t>
      </w:r>
    </w:p>
    <w:p>
      <w:pPr>
        <w:pStyle w:val="FirstParagraph"/>
      </w:pPr>
      <w:r>
        <w:rPr>
          <w:i/>
        </w:rPr>
        <w:t xml:space="preserve">( more objective approach to produce similar results to what has been shown using more conventional methods)</w:t>
      </w:r>
      <w:r>
        <w:t xml:space="preserve"> </w:t>
      </w:r>
      <w:r>
        <w:rPr>
          <w:i/>
        </w:rPr>
        <w:t xml:space="preserve">(for identigying climate variables… Is the benefit of the new approach that it is a more objective way to reach the same interpretation, or are there cases when it would produce a different interpretation?)</w:t>
      </w:r>
    </w:p>
    <w:bookmarkEnd w:id="47"/>
    <w:bookmarkStart w:id="48" w:name="new-insight"/>
    <w:p>
      <w:pPr>
        <w:pStyle w:val="Heading2"/>
      </w:pPr>
      <w:r>
        <w:t xml:space="preserve">new insight</w:t>
      </w:r>
    </w:p>
    <w:p>
      <w:pPr>
        <w:pStyle w:val="FirstParagraph"/>
      </w:pPr>
      <w:r>
        <w:rPr>
          <w:i/>
        </w:rPr>
        <w:t xml:space="preserve">(could potentially provide new insight that would not be expected using more conventional methods. It would be useful if there are examples from the analysis in this paper that could clearly illustrate new insight that would not have been found with conventional methods. )</w:t>
      </w:r>
    </w:p>
    <w:bookmarkEnd w:id="48"/>
    <w:bookmarkStart w:id="51" w:name="future-challenges"/>
    <w:p>
      <w:pPr>
        <w:pStyle w:val="Heading2"/>
      </w:pP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w:t>
      </w:r>
    </w:p>
    <w:p>
      <w:pPr>
        <w:pStyle w:val="BodyText"/>
      </w:pPr>
      <w:r>
        <w:rPr>
          <w:i/>
        </w:rPr>
        <w:t xml:space="preserve">Climate sensitivity</w:t>
      </w:r>
    </w:p>
    <w:p>
      <w:pPr>
        <w:pStyle w:val="BodyText"/>
      </w:pPr>
      <w:r>
        <w:t xml:space="preserve">Ideas to discuss:</w:t>
      </w:r>
    </w:p>
    <w:p>
      <w:pPr>
        <w:numPr>
          <w:ilvl w:val="0"/>
          <w:numId w:val="1003"/>
        </w:numPr>
      </w:pPr>
      <m:oMath>
        <m:sSub>
          <m:e>
            <m:r>
              <m:t>T</m:t>
            </m:r>
          </m:e>
          <m:sub>
            <m:r>
              <m:t>m</m:t>
            </m:r>
            <m:r>
              <m:t>a</m:t>
            </m:r>
            <m:r>
              <m:t>x</m:t>
            </m:r>
          </m:sub>
        </m:sSub>
      </m:oMath>
      <w:r>
        <w:t xml:space="preserve"> </w:t>
      </w:r>
      <w:r>
        <w:t xml:space="preserve">and</w:t>
      </w:r>
      <w:r>
        <w:t xml:space="preserve"> </w:t>
      </w:r>
      <m:oMath>
        <m:r>
          <m:t>P</m:t>
        </m:r>
        <m:r>
          <m:t>E</m:t>
        </m:r>
        <m:r>
          <m:t>T</m:t>
        </m:r>
      </m:oMath>
      <w:r>
        <w:t xml:space="preserve"> </w:t>
      </w:r>
      <w:r>
        <w:t xml:space="preserve">tend to be better variables than the more commonly used</w:t>
      </w:r>
      <w:r>
        <w:t xml:space="preserve"> </w:t>
      </w:r>
      <m:oMath>
        <m:sSub>
          <m:e>
            <m:r>
              <m:t>T</m:t>
            </m:r>
          </m:e>
          <m:sub>
            <m:r>
              <m:t>m</m:t>
            </m:r>
            <m:r>
              <m:t>e</m:t>
            </m:r>
            <m:r>
              <m:t>a</m:t>
            </m:r>
            <m:r>
              <m:t>n</m:t>
            </m:r>
          </m:sub>
        </m:sSub>
      </m:oMath>
    </w:p>
    <w:p>
      <w:pPr>
        <w:numPr>
          <w:ilvl w:val="0"/>
          <w:numId w:val="1003"/>
        </w:numPr>
      </w:pPr>
      <w:r>
        <w:t xml:space="preserve">trees tend to be sensitive to water over longer time scales (makes sense– lags caused by soil moisture storage)</w:t>
      </w:r>
    </w:p>
    <w:p>
      <w:pPr>
        <w:numPr>
          <w:ilvl w:val="0"/>
          <w:numId w:val="1003"/>
        </w:numPr>
      </w:pPr>
      <w:r>
        <w:t xml:space="preserve">temperature sensitivity shifts from neg in warm climates to positive in cold climates (although</w:t>
      </w:r>
      <w:r>
        <w:t xml:space="preserve"> </w:t>
      </w:r>
      <w:r>
        <w:t xml:space="preserve">Sniderhan &amp; Baltzer (2016)</w:t>
      </w:r>
      <w:r>
        <w:t xml:space="preserve"> </w:t>
      </w:r>
      <w:r>
        <w:t xml:space="preserve">shows that the effect shifted to negative as warming progressed)</w:t>
      </w:r>
    </w:p>
    <w:p>
      <w:pPr>
        <w:numPr>
          <w:ilvl w:val="0"/>
          <w:numId w:val="1003"/>
        </w:numPr>
      </w:pPr>
      <w:r>
        <w:t xml:space="preserve">additive effects are prevalent and should not be overlooked</w:t>
      </w:r>
    </w:p>
    <w:p>
      <w:pPr>
        <w:numPr>
          <w:ilvl w:val="0"/>
          <w:numId w:val="1003"/>
        </w:numPr>
      </w:pPr>
      <w:r>
        <w:t xml:space="preserve">nonlinear effects are prevalent</w:t>
      </w:r>
    </w:p>
    <w:p>
      <w:pPr>
        <w:numPr>
          <w:ilvl w:val="0"/>
          <w:numId w:val="1003"/>
        </w:numPr>
      </w:pPr>
      <w:r>
        <w:t xml:space="preserve">species climate sensitivity models could be improved by fitting climwin individually be species.</w:t>
      </w:r>
    </w:p>
    <w:p>
      <w:pPr>
        <w:pStyle w:val="FirstParagraph"/>
      </w:pPr>
      <w:r>
        <w:rPr>
          <w:i/>
        </w:rPr>
        <w:t xml:space="preserve">Influence of DBH</w:t>
      </w:r>
    </w:p>
    <w:p>
      <w:pPr>
        <w:pStyle w:val="BodyText"/>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generally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Baker, Bunyavejchewin, &amp; Zuidema, 2014)</w:t>
      </w:r>
      <w:r>
        <w:t xml:space="preserve">, where it presumably established under open conditions.</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open-grown trees (</w:t>
      </w:r>
      <w:r>
        <w:rPr>
          <w:i/>
        </w:rPr>
        <w:t xml:space="preserve">DENDRO_REFS: See refs in Biondi and Qeadan 2008. Tree-Ring Research 64:81-96.</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49">
        <w:r>
          <w:rPr>
            <w:rStyle w:val="Hyperlink"/>
            <w:i/>
          </w:rPr>
          <w:t xml:space="preserve">Clark et al. 2007?</w:t>
        </w:r>
      </w:hyperlink>
      <w:r>
        <w:rPr>
          <w:i/>
        </w:rPr>
        <w:t xml:space="preserve">;</w:t>
      </w:r>
      <w:r>
        <w:rPr>
          <w:i/>
        </w:rPr>
        <w:t xml:space="preserve"> </w:t>
      </w:r>
      <w:hyperlink r:id="rId50">
        <w:r>
          <w:rPr>
            <w:rStyle w:val="Hyperlink"/>
            <w:i/>
          </w:rPr>
          <w:t xml:space="preserve">Schleip et al. 2015</w:t>
        </w:r>
      </w:hyperlink>
      <w:r>
        <w:t xml:space="preserve">).</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conservative detrending and basal area correction</w:t>
      </w:r>
      <w:r>
        <w:t xml:space="preserve"> </w:t>
      </w:r>
      <w:r>
        <w:t xml:space="preserve">(see Peters, Groenendijk, Vlam, &amp; Zuidema,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t xml:space="preserve">but less sensitive to high temperatures</w:t>
      </w:r>
      <w:r>
        <w:t xml:space="preserve"> </w:t>
      </w:r>
      <w:r>
        <w:rPr>
          <w:i/>
        </w:rPr>
        <w:t xml:space="preserve">(Rollinson et al. in review)</w:t>
      </w:r>
      <w:r>
        <w:t xml:space="preserve">, implying that size should be considered in tree-ring analyses of climate sensitivity.</w:t>
      </w:r>
      <w:r>
        <w:t xml:space="preserve"> </w:t>
      </w:r>
      <w:r>
        <w:t xml:space="preserve">(</w:t>
      </w:r>
      <w:r>
        <w:t xml:space="preserve">Hacket-Pain, Cavin, Friend, &amp; Jump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p>
    <w:p>
      <w:pPr>
        <w:pStyle w:val="BodyText"/>
      </w:pPr>
      <w:r>
        <w:t xml:space="preserve">All this points to the potential importance of considering DBH in climate reconstructions</w:t>
      </w:r>
      <w:r>
        <w:t xml:space="preserve"> </w:t>
      </w:r>
      <w:r>
        <w:rPr>
          <w:i/>
        </w:rPr>
        <w:t xml:space="preserve">[but these reconstructions are often selecting trees at much bigger dbhs that what are at these sites.]</w:t>
      </w:r>
      <w:r>
        <w:t xml:space="preserve"> </w:t>
      </w:r>
      <w:r>
        <w:t xml:space="preserve">Traditional dendro methods seek to remove the influence of</w:t>
      </w:r>
      <w:r>
        <w:t xml:space="preserve"> </w:t>
      </w:r>
      <m:oMath>
        <m:r>
          <m:t>D</m:t>
        </m:r>
        <m:r>
          <m:t>B</m:t>
        </m:r>
        <m:r>
          <m:t>H</m:t>
        </m:r>
      </m:oMath>
      <w:r>
        <w:t xml:space="preserve">, but our finding of prevalent</w:t>
      </w:r>
      <w:r>
        <w:t xml:space="preserve"> </w:t>
      </w:r>
      <m:oMath>
        <m:r>
          <m:t>D</m:t>
        </m:r>
        <m:r>
          <m:t>B</m:t>
        </m:r>
        <m:r>
          <m:t>H</m:t>
        </m:r>
      </m:oMath>
      <w:r>
        <w:t xml:space="preserve">-</w:t>
      </w:r>
      <m:oMath>
        <m:r>
          <m:t>R</m:t>
        </m:r>
        <m:r>
          <m:t>W</m:t>
        </m:r>
      </m:oMath>
      <w:r>
        <w:t xml:space="preserve"> </w:t>
      </w:r>
      <w:r>
        <w:t xml:space="preserve">interactions indicate that it should not be ignored.</w:t>
      </w:r>
      <w:r>
        <w:t xml:space="preserve"> </w:t>
      </w:r>
      <w:r>
        <w:rPr>
          <w:i/>
        </w:rPr>
        <w:t xml:space="preserve">(Indeed, this is probably one factor contributing to the non-stationarity of climate signals in tree-ring records</w:t>
      </w:r>
      <w:r>
        <w:rPr>
          <w:i/>
        </w:rPr>
        <w:t xml:space="preserve"> </w:t>
      </w:r>
      <w:r>
        <w:rPr>
          <w:i/>
        </w:rPr>
        <w:t xml:space="preserve">(Wilmking et al., 2020)</w:t>
      </w:r>
      <w:r>
        <w:rPr>
          <w:i/>
        </w:rPr>
        <w:t xml:space="preserve">.)</w:t>
      </w:r>
      <w:r>
        <w:t xml:space="preserve"> </w:t>
      </w:r>
      <w:r>
        <w:rPr>
          <w:i/>
        </w:rPr>
        <w:t xml:space="preserve">( Interactive effects of DBH and climate may suggest significant impact of different sampling strategy on results per individual site. – e.g., stronger drought signal if just large trees are sampled. This is consistent with the dendro tradition of sampling canopy trees for strongest drought signals; however, our results suggest that temperature signals may be stronger in young trees. )</w:t>
      </w:r>
      <w:r>
        <w:t xml:space="preserve"> </w:t>
      </w:r>
      <w:r>
        <w:rPr>
          <w:i/>
        </w:rPr>
        <w:t xml:space="preserve">(height vs exposure/ social status of trees)</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bookmarkEnd w:id="51"/>
    <w:bookmarkEnd w:id="52"/>
    <w:bookmarkStart w:id="53"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3"/>
    <w:bookmarkStart w:id="54" w:name="authors-contribution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4"/>
    <w:bookmarkStart w:id="55" w:name="data-availability"/>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5"/>
    <w:bookmarkStart w:id="160" w:name="references"/>
    <w:p>
      <w:pPr>
        <w:pStyle w:val="Heading1"/>
      </w:pPr>
      <w:r>
        <w:t xml:space="preserve">References</w:t>
      </w:r>
    </w:p>
    <w:bookmarkStart w:id="159" w:name="refs"/>
    <w:bookmarkStart w:id="57"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 doi:</w:t>
      </w:r>
      <w:hyperlink r:id="rId56">
        <w:r>
          <w:rPr>
            <w:rStyle w:val="Hyperlink"/>
          </w:rPr>
          <w:t xml:space="preserve">10.1007/s00468-017-1629-0</w:t>
        </w:r>
      </w:hyperlink>
    </w:p>
    <w:bookmarkEnd w:id="57"/>
    <w:bookmarkStart w:id="59" w:name="X7472afe191c4e6f910d2bf0bfbf82e114a2f267"/>
    <w:p>
      <w:pPr>
        <w:pStyle w:val="Bibliography"/>
      </w:pPr>
      <w:r>
        <w:t xml:space="preserve">Anderson-Teixeira, K., Gonzalez, B., ForestGEO, McGregor, I., Gonzalez-Akre, E., RHelcoski, … Camerondow35. (2020, September). Forestgeo/Climate: Initial release. Zenodo. doi:</w:t>
      </w:r>
      <w:hyperlink r:id="rId58">
        <w:r>
          <w:rPr>
            <w:rStyle w:val="Hyperlink"/>
          </w:rPr>
          <w:t xml:space="preserve">10.5281/ZENODO.3958215</w:t>
        </w:r>
      </w:hyperlink>
    </w:p>
    <w:bookmarkEnd w:id="59"/>
    <w:bookmarkStart w:id="61" w:name="X004b0b0adcb3b0fd197baeba21c22fc647d3498"/>
    <w:p>
      <w:pPr>
        <w:pStyle w:val="Bibliography"/>
      </w:pPr>
      <w:r>
        <w:t xml:space="preserve">Anderson-Teixeira, K. J., Davies, S. J., Bennett, A. C., Gonzalez-Akre, E. B., Muller-Landau, H. C., Joseph Wright, S.,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 doi:</w:t>
      </w:r>
      <w:hyperlink r:id="rId60">
        <w:r>
          <w:rPr>
            <w:rStyle w:val="Hyperlink"/>
          </w:rPr>
          <w:t xml:space="preserve">10.1111/gcb.12712</w:t>
        </w:r>
      </w:hyperlink>
    </w:p>
    <w:bookmarkEnd w:id="61"/>
    <w:bookmarkStart w:id="63" w:name="ref-anderson-teixeira_size-related_2015"/>
    <w:p>
      <w:pPr>
        <w:pStyle w:val="Bibliography"/>
      </w:pPr>
      <w:r>
        <w:t xml:space="preserve">Anderson-Teixeira, K. J., McGarvey, J. C., Muller-Landau, H. C., Park, J. Y., Gonzalez-Akre, E. B., Herrmann, V., …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 doi:</w:t>
      </w:r>
      <w:hyperlink r:id="rId62">
        <w:r>
          <w:rPr>
            <w:rStyle w:val="Hyperlink"/>
          </w:rPr>
          <w:t xml:space="preserve">10.1111/1365-2435.12470</w:t>
        </w:r>
      </w:hyperlink>
    </w:p>
    <w:bookmarkEnd w:id="63"/>
    <w:bookmarkStart w:id="64" w:name="ref-applequist_simple_1958"/>
    <w:p>
      <w:pPr>
        <w:pStyle w:val="Bibliography"/>
      </w:pPr>
      <w:r>
        <w:t xml:space="preserve">Applequist, M. (1958). A simple pith locator for use with off-center increment cores.</w:t>
      </w:r>
      <w:r>
        <w:t xml:space="preserve"> </w:t>
      </w:r>
      <w:r>
        <w:rPr>
          <w:i/>
        </w:rPr>
        <w:t xml:space="preserve">Journal of Forestry</w:t>
      </w:r>
      <w:r>
        <w:t xml:space="preserve">.</w:t>
      </w:r>
    </w:p>
    <w:bookmarkEnd w:id="64"/>
    <w:bookmarkStart w:id="66" w:name="ref-aus_de_ar_tree_2018"/>
    <w:p>
      <w:pPr>
        <w:pStyle w:val="Bibliography"/>
      </w:pPr>
      <w:r>
        <w:t xml:space="preserve">Aus de Ar, R. (2018). Tree Rings of Pinus ponderosa and Juniperus virginiana Show Different Responses to Stand Density and Water Availability in the Nebraska Grasslands.</w:t>
      </w:r>
      <w:r>
        <w:t xml:space="preserve"> </w:t>
      </w:r>
      <w:r>
        <w:rPr>
          <w:i/>
        </w:rPr>
        <w:t xml:space="preserve">The American Midland Naturalist</w:t>
      </w:r>
      <w:r>
        <w:t xml:space="preserve">,</w:t>
      </w:r>
      <w:r>
        <w:t xml:space="preserve"> </w:t>
      </w:r>
      <w:r>
        <w:rPr>
          <w:i/>
        </w:rPr>
        <w:t xml:space="preserve">180</w:t>
      </w:r>
      <w:r>
        <w:t xml:space="preserve">(1), 18. doi:</w:t>
      </w:r>
      <w:hyperlink r:id="rId65">
        <w:r>
          <w:rPr>
            <w:rStyle w:val="Hyperlink"/>
          </w:rPr>
          <w:t xml:space="preserve">10.1674/0003-0031-180.1.18</w:t>
        </w:r>
      </w:hyperlink>
    </w:p>
    <w:bookmarkEnd w:id="66"/>
    <w:bookmarkStart w:id="68"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 doi:</w:t>
      </w:r>
      <w:hyperlink r:id="rId67">
        <w:r>
          <w:rPr>
            <w:rStyle w:val="Hyperlink"/>
          </w:rPr>
          <w:t xml:space="preserve">10.1017/S0266467406003312</w:t>
        </w:r>
      </w:hyperlink>
    </w:p>
    <w:bookmarkEnd w:id="68"/>
    <w:bookmarkStart w:id="69"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69"/>
    <w:bookmarkStart w:id="71"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 doi:</w:t>
      </w:r>
      <w:hyperlink r:id="rId70">
        <w:r>
          <w:rPr>
            <w:rStyle w:val="Hyperlink"/>
          </w:rPr>
          <w:t xml:space="preserve">10.1016/j.agrformet.2012.10.010</w:t>
        </w:r>
      </w:hyperlink>
    </w:p>
    <w:bookmarkEnd w:id="71"/>
    <w:bookmarkStart w:id="73"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 doi:</w:t>
      </w:r>
      <w:hyperlink r:id="rId72">
        <w:r>
          <w:rPr>
            <w:rStyle w:val="Hyperlink"/>
          </w:rPr>
          <w:t xml:space="preserve">10.1038/nplants.2015.139</w:t>
        </w:r>
      </w:hyperlink>
    </w:p>
    <w:bookmarkEnd w:id="73"/>
    <w:bookmarkStart w:id="74" w:name="ref-brown_toward_2004"/>
    <w:p>
      <w:pPr>
        <w:pStyle w:val="Bibliography"/>
      </w:pPr>
      <w:r>
        <w:t xml:space="preserve">Brown, J. H., Gillooly, J. F., Allen, A. P., Savage, V. M., &amp; West, G. B. (2004). Toward a metabolic theory of ecology.</w:t>
      </w:r>
      <w:r>
        <w:t xml:space="preserve"> </w:t>
      </w:r>
      <w:r>
        <w:rPr>
          <w:i/>
        </w:rPr>
        <w:t xml:space="preserve">Ecology</w:t>
      </w:r>
      <w:r>
        <w:t xml:space="preserve">,</w:t>
      </w:r>
      <w:r>
        <w:t xml:space="preserve"> </w:t>
      </w:r>
      <w:r>
        <w:rPr>
          <w:i/>
        </w:rPr>
        <w:t xml:space="preserve">85</w:t>
      </w:r>
      <w:r>
        <w:t xml:space="preserve">(7), 1771–1789.</w:t>
      </w:r>
    </w:p>
    <w:bookmarkEnd w:id="74"/>
    <w:bookmarkStart w:id="76" w:name="ref-bumann_assessing_2019"/>
    <w:p>
      <w:pPr>
        <w:pStyle w:val="Bibliography"/>
      </w:pPr>
      <w:r>
        <w:t xml:space="preserve">Bumann, E., Awada, T., Wardlow, B., Hayes, M., Okalebo, J., Helzer, C., …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 doi:</w:t>
      </w:r>
      <w:hyperlink r:id="rId75">
        <w:r>
          <w:rPr>
            <w:rStyle w:val="Hyperlink"/>
          </w:rPr>
          <w:t xml:space="preserve">10.1139/cjfr-2018-0206</w:t>
        </w:r>
      </w:hyperlink>
    </w:p>
    <w:bookmarkEnd w:id="76"/>
    <w:bookmarkStart w:id="78" w:name="ref-cailleret_synthesis_2017"/>
    <w:p>
      <w:pPr>
        <w:pStyle w:val="Bibliography"/>
      </w:pPr>
      <w:r>
        <w:t xml:space="preserve">Cailleret, M., Jansen, S., Robert, E. M. R., Desoto, L., Aakala, T., Antos, J. A.,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 doi:</w:t>
      </w:r>
      <w:hyperlink r:id="rId77">
        <w:r>
          <w:rPr>
            <w:rStyle w:val="Hyperlink"/>
          </w:rPr>
          <w:t xml:space="preserve">10.1111/gcb.13535</w:t>
        </w:r>
      </w:hyperlink>
    </w:p>
    <w:bookmarkEnd w:id="78"/>
    <w:bookmarkStart w:id="80" w:name="ref-charney_observed_2016"/>
    <w:p>
      <w:pPr>
        <w:pStyle w:val="Bibliography"/>
      </w:pPr>
      <w:r>
        <w:t xml:space="preserve">Charney, N. D., Babst, F., Poulter, B., Record, S., Trouet, V. M., Frank, D., …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 doi:</w:t>
      </w:r>
      <w:hyperlink r:id="rId79">
        <w:r>
          <w:rPr>
            <w:rStyle w:val="Hyperlink"/>
          </w:rPr>
          <w:t xml:space="preserve">10.1111/ele.12650</w:t>
        </w:r>
      </w:hyperlink>
    </w:p>
    <w:bookmarkEnd w:id="80"/>
    <w:bookmarkStart w:id="82"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 doi:</w:t>
      </w:r>
      <w:hyperlink r:id="rId81">
        <w:r>
          <w:rPr>
            <w:rStyle w:val="Hyperlink"/>
          </w:rPr>
          <w:t xml:space="preserve">10.1177/095968369700700314</w:t>
        </w:r>
      </w:hyperlink>
    </w:p>
    <w:bookmarkEnd w:id="82"/>
    <w:bookmarkStart w:id="84" w:name="ref-desoto_low_2020"/>
    <w:p>
      <w:pPr>
        <w:pStyle w:val="Bibliography"/>
      </w:pPr>
      <w:r>
        <w:t xml:space="preserve">DeSoto, L., Cailleret, M., Sterck, F., Jansen, S., Kramer, K., Robert, E. M. R.,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 doi:</w:t>
      </w:r>
      <w:hyperlink r:id="rId83">
        <w:r>
          <w:rPr>
            <w:rStyle w:val="Hyperlink"/>
          </w:rPr>
          <w:t xml:space="preserve">10.1038/s41467-020-14300-5</w:t>
        </w:r>
      </w:hyperlink>
    </w:p>
    <w:bookmarkEnd w:id="84"/>
    <w:bookmarkStart w:id="85" w:name="ref-duncan_evaluation_1989"/>
    <w:p>
      <w:pPr>
        <w:pStyle w:val="Bibliography"/>
      </w:pPr>
      <w:r>
        <w:t xml:space="preserve">Duncan, R. P. (1989). An evaluation of errors in tree age estimates based on increment cores in kahikatea (Dacrycarpus dacrydioides).</w:t>
      </w:r>
      <w:r>
        <w:t xml:space="preserve"> </w:t>
      </w:r>
      <w:r>
        <w:rPr>
          <w:i/>
        </w:rPr>
        <w:t xml:space="preserve">New Zealand Natural Sciences</w:t>
      </w:r>
      <w:r>
        <w:t xml:space="preserve">,</w:t>
      </w:r>
      <w:r>
        <w:t xml:space="preserve"> </w:t>
      </w:r>
      <w:r>
        <w:rPr>
          <w:i/>
        </w:rPr>
        <w:t xml:space="preserve">16</w:t>
      </w:r>
      <w:r>
        <w:t xml:space="preserve">, 31–37.</w:t>
      </w:r>
    </w:p>
    <w:bookmarkEnd w:id="85"/>
    <w:bookmarkStart w:id="87"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 doi:</w:t>
      </w:r>
      <w:hyperlink r:id="rId86">
        <w:r>
          <w:rPr>
            <w:rStyle w:val="Hyperlink"/>
          </w:rPr>
          <w:t xml:space="preserve">10.1007/s10584-009-9594-2</w:t>
        </w:r>
      </w:hyperlink>
    </w:p>
    <w:bookmarkEnd w:id="87"/>
    <w:bookmarkStart w:id="89"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 doi:</w:t>
      </w:r>
      <w:hyperlink r:id="rId88">
        <w:r>
          <w:rPr>
            <w:rStyle w:val="Hyperlink"/>
          </w:rPr>
          <w:t xml:space="preserve">10.1111/gcb.13208</w:t>
        </w:r>
      </w:hyperlink>
    </w:p>
    <w:bookmarkEnd w:id="89"/>
    <w:bookmarkStart w:id="91" w:name="ref-friedlingstein_climatecarbon_2006"/>
    <w:p>
      <w:pPr>
        <w:pStyle w:val="Bibliography"/>
      </w:pPr>
      <w:r>
        <w:t xml:space="preserve">Friedlingstein, P., Cox, P., Betts, R., Bopp, L., von Bloh, W., Brovkin, V.,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 doi:</w:t>
      </w:r>
      <w:hyperlink r:id="rId90">
        <w:r>
          <w:rPr>
            <w:rStyle w:val="Hyperlink"/>
          </w:rPr>
          <w:t xml:space="preserve">10.1175/JCLI3800.1</w:t>
        </w:r>
      </w:hyperlink>
    </w:p>
    <w:bookmarkEnd w:id="91"/>
    <w:bookmarkStart w:id="92" w:name="ref-fritts_tree_1976"/>
    <w:p>
      <w:pPr>
        <w:pStyle w:val="Bibliography"/>
      </w:pPr>
      <w:r>
        <w:t xml:space="preserve">Fritts, H. C. (1976).</w:t>
      </w:r>
      <w:r>
        <w:t xml:space="preserve"> </w:t>
      </w:r>
      <w:r>
        <w:rPr>
          <w:i/>
        </w:rPr>
        <w:t xml:space="preserve">Tree rings and climate</w:t>
      </w:r>
      <w:r>
        <w:t xml:space="preserve">. London; New York: Academic Press.</w:t>
      </w:r>
    </w:p>
    <w:bookmarkEnd w:id="92"/>
    <w:bookmarkStart w:id="94"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 doi:</w:t>
      </w:r>
      <w:hyperlink r:id="rId93">
        <w:r>
          <w:rPr>
            <w:rStyle w:val="Hyperlink"/>
          </w:rPr>
          <w:t xml:space="preserve">10.1007/s10021-020-00501-y</w:t>
        </w:r>
      </w:hyperlink>
    </w:p>
    <w:bookmarkEnd w:id="94"/>
    <w:bookmarkStart w:id="96" w:name="X81070c8dded57796bffe4e046459a048702f082"/>
    <w:p>
      <w:pPr>
        <w:pStyle w:val="Bibliography"/>
      </w:pPr>
      <w:r>
        <w:t xml:space="preserve">Gonzalez-Akre, E., McGregor, I., Anderson-Teixeira, K., Dow, C., Herrmann, V., Terrell, A., … RHelcoski. (2020, October). SCBI-ForestGEO/SCBI-ForestGEO-Data: First release with hydraulic traits data. Zenodo. doi:</w:t>
      </w:r>
      <w:hyperlink r:id="rId95">
        <w:r>
          <w:rPr>
            <w:rStyle w:val="Hyperlink"/>
          </w:rPr>
          <w:t xml:space="preserve">10.5281/ZENODO.4070038</w:t>
        </w:r>
      </w:hyperlink>
    </w:p>
    <w:bookmarkEnd w:id="96"/>
    <w:bookmarkStart w:id="98"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 doi:</w:t>
      </w:r>
      <w:hyperlink r:id="rId97">
        <w:r>
          <w:rPr>
            <w:rStyle w:val="Hyperlink"/>
          </w:rPr>
          <w:t xml:space="preserve">10.2307/1937545</w:t>
        </w:r>
      </w:hyperlink>
    </w:p>
    <w:bookmarkEnd w:id="98"/>
    <w:bookmarkStart w:id="100"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 doi:</w:t>
      </w:r>
      <w:hyperlink r:id="rId99">
        <w:r>
          <w:rPr>
            <w:rStyle w:val="Hyperlink"/>
          </w:rPr>
          <w:t xml:space="preserve">10.1007/s10342-016-0982-7</w:t>
        </w:r>
      </w:hyperlink>
    </w:p>
    <w:bookmarkEnd w:id="100"/>
    <w:bookmarkStart w:id="102"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 doi:</w:t>
      </w:r>
      <w:hyperlink r:id="rId101">
        <w:r>
          <w:rPr>
            <w:rStyle w:val="Hyperlink"/>
          </w:rPr>
          <w:t xml:space="preserve">10.1002/joc.3711</w:t>
        </w:r>
      </w:hyperlink>
    </w:p>
    <w:bookmarkEnd w:id="102"/>
    <w:bookmarkStart w:id="104"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 doi:</w:t>
      </w:r>
      <w:hyperlink r:id="rId103">
        <w:r>
          <w:rPr>
            <w:rStyle w:val="Hyperlink"/>
          </w:rPr>
          <w:t xml:space="preserve">10.1038/s41597-020-0453-3</w:t>
        </w:r>
      </w:hyperlink>
    </w:p>
    <w:bookmarkEnd w:id="104"/>
    <w:bookmarkStart w:id="106" w:name="ref-helcoski_growing_2019"/>
    <w:p>
      <w:pPr>
        <w:pStyle w:val="Bibliography"/>
      </w:pPr>
      <w:r>
        <w:t xml:space="preserve">Helcoski, R., Tepley, A. J., Pederson, N., McGarvey, J. C., Meakem, V., Herrmann, V., …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 doi:</w:t>
      </w:r>
      <w:hyperlink r:id="rId105">
        <w:r>
          <w:rPr>
            <w:rStyle w:val="Hyperlink"/>
          </w:rPr>
          <w:t xml:space="preserve">10.1111/nph.15906</w:t>
        </w:r>
      </w:hyperlink>
    </w:p>
    <w:bookmarkEnd w:id="106"/>
    <w:bookmarkStart w:id="107" w:name="ref-kaspar_species-specific_nodate"/>
    <w:p>
      <w:pPr>
        <w:pStyle w:val="Bibliography"/>
      </w:pPr>
      <w:r>
        <w:t xml:space="preserve">Kašpar, K., Tumajer, J., Vašíčková, I., &amp; Šamonil, P. (n.d.). Species-specific climate-growth interactions determine the future tree species dynamics of the mixed Central European mountain forests.</w:t>
      </w:r>
    </w:p>
    <w:bookmarkEnd w:id="107"/>
    <w:bookmarkStart w:id="109"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 doi:</w:t>
      </w:r>
      <w:hyperlink r:id="rId108">
        <w:r>
          <w:rPr>
            <w:rStyle w:val="Hyperlink"/>
          </w:rPr>
          <w:t xml:space="preserve">10.1038/s41467-018-07800-y</w:t>
        </w:r>
      </w:hyperlink>
    </w:p>
    <w:bookmarkEnd w:id="109"/>
    <w:bookmarkStart w:id="111" w:name="ref-kumarathunge_acclimation_2019"/>
    <w:p>
      <w:pPr>
        <w:pStyle w:val="Bibliography"/>
      </w:pPr>
      <w:r>
        <w:t xml:space="preserve">Kumarathunge, D. P., Medlyn, B. E., Drake, J. E., Tjoelker, M. G., Aspinwall, M. J., Battaglia, M.,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 doi:</w:t>
      </w:r>
      <w:hyperlink r:id="rId110">
        <w:r>
          <w:rPr>
            <w:rStyle w:val="Hyperlink"/>
          </w:rPr>
          <w:t xml:space="preserve">10.1111/nph.15668</w:t>
        </w:r>
      </w:hyperlink>
    </w:p>
    <w:bookmarkEnd w:id="111"/>
    <w:bookmarkStart w:id="113"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 doi:</w:t>
      </w:r>
      <w:hyperlink r:id="rId112">
        <w:r>
          <w:rPr>
            <w:rStyle w:val="Hyperlink"/>
          </w:rPr>
          <w:t xml:space="preserve">10.1111/gcb.14273</w:t>
        </w:r>
      </w:hyperlink>
    </w:p>
    <w:bookmarkEnd w:id="113"/>
    <w:bookmarkStart w:id="115" w:name="ref-maxwell_increased_2017"/>
    <w:p>
      <w:pPr>
        <w:pStyle w:val="Bibliography"/>
      </w:pPr>
      <w:r>
        <w:t xml:space="preserve">Maxwell, J. T., &amp; Harley, G. L. (2017). Increased tree-ring network density reveals more precise estimations of sub-regional hydroclimate variability and climate dynamics in the Midwest, USA.</w:t>
      </w:r>
      <w:r>
        <w:t xml:space="preserve"> </w:t>
      </w:r>
      <w:r>
        <w:rPr>
          <w:i/>
        </w:rPr>
        <w:t xml:space="preserve">Climate Dynamics</w:t>
      </w:r>
      <w:r>
        <w:t xml:space="preserve">,</w:t>
      </w:r>
      <w:r>
        <w:t xml:space="preserve"> </w:t>
      </w:r>
      <w:r>
        <w:rPr>
          <w:i/>
        </w:rPr>
        <w:t xml:space="preserve">49</w:t>
      </w:r>
      <w:r>
        <w:t xml:space="preserve">(4), 1479–1493. doi:</w:t>
      </w:r>
      <w:hyperlink r:id="rId114">
        <w:r>
          <w:rPr>
            <w:rStyle w:val="Hyperlink"/>
          </w:rPr>
          <w:t xml:space="preserve">10.1007/s00382-016-3396-9</w:t>
        </w:r>
      </w:hyperlink>
    </w:p>
    <w:bookmarkEnd w:id="115"/>
    <w:bookmarkStart w:id="117"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 doi:</w:t>
      </w:r>
      <w:hyperlink r:id="rId116">
        <w:r>
          <w:rPr>
            <w:rStyle w:val="Hyperlink"/>
          </w:rPr>
          <w:t xml:space="preserve">10.1007/s10584-016-1720-3</w:t>
        </w:r>
      </w:hyperlink>
    </w:p>
    <w:bookmarkEnd w:id="117"/>
    <w:bookmarkStart w:id="119" w:name="ref-mcdowell_pervasive_2020"/>
    <w:p>
      <w:pPr>
        <w:pStyle w:val="Bibliography"/>
      </w:pPr>
      <w:r>
        <w:t xml:space="preserve">McDowell, N. G., Allen, C. D., Anderson-Teixeira, K., Aukema, B. H., Bond-Lamberty, B., Chini, L., … Xu, C. (2020). Pervasive shifts in forest dynamics in a changing world.</w:t>
      </w:r>
      <w:r>
        <w:t xml:space="preserve"> </w:t>
      </w:r>
      <w:r>
        <w:rPr>
          <w:i/>
        </w:rPr>
        <w:t xml:space="preserve">Science</w:t>
      </w:r>
      <w:r>
        <w:t xml:space="preserve">,</w:t>
      </w:r>
      <w:r>
        <w:t xml:space="preserve"> </w:t>
      </w:r>
      <w:r>
        <w:rPr>
          <w:i/>
        </w:rPr>
        <w:t xml:space="preserve">368</w:t>
      </w:r>
      <w:r>
        <w:t xml:space="preserve">(6494). doi:</w:t>
      </w:r>
      <w:hyperlink r:id="rId118">
        <w:r>
          <w:rPr>
            <w:rStyle w:val="Hyperlink"/>
          </w:rPr>
          <w:t xml:space="preserve">10.1126/science.aaz9463</w:t>
        </w:r>
      </w:hyperlink>
    </w:p>
    <w:bookmarkEnd w:id="119"/>
    <w:bookmarkStart w:id="121" w:name="ref-mcgregor_tree_2020"/>
    <w:p>
      <w:pPr>
        <w:pStyle w:val="Bibliography"/>
      </w:pPr>
      <w:r>
        <w:t xml:space="preserve">McGregor, I. R., Helcoski, R., Kunert, N., Tepley, A. J., Gonzalez-Akre, E. B., Herrmann, V., … Anderson-Teixeira, K. J. (2020). Tree height and leaf drought tolerance traits shape growth responses across droughts in a temperate broadleaf forest.</w:t>
      </w:r>
      <w:r>
        <w:t xml:space="preserve"> </w:t>
      </w:r>
      <w:r>
        <w:rPr>
          <w:i/>
        </w:rPr>
        <w:t xml:space="preserve">New Phytologist</w:t>
      </w:r>
      <w:r>
        <w:t xml:space="preserve">. doi:</w:t>
      </w:r>
      <w:hyperlink r:id="rId120">
        <w:r>
          <w:rPr>
            <w:rStyle w:val="Hyperlink"/>
          </w:rPr>
          <w:t xml:space="preserve">10.1111/nph.16996</w:t>
        </w:r>
      </w:hyperlink>
    </w:p>
    <w:bookmarkEnd w:id="121"/>
    <w:bookmarkStart w:id="122" w:name="ref-muller-landau_testing_2006"/>
    <w:p>
      <w:pPr>
        <w:pStyle w:val="Bibliography"/>
      </w:pPr>
      <w:r>
        <w:t xml:space="preserve">Muller-Landau, H. C., Condit, R. S., Chave, J., Thomas, S. C., Bohlman, S. A., Bunyavejchewin, S.,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22"/>
    <w:bookmarkStart w:id="124" w:name="ref-paton_barro_2019"/>
    <w:p>
      <w:pPr>
        <w:pStyle w:val="Bibliography"/>
      </w:pPr>
      <w:r>
        <w:t xml:space="preserve">Paton, S. (2019, October). Barro Colorado Island, Clearing_Precipitation, manual. The Smithsonian Institution. doi:</w:t>
      </w:r>
      <w:hyperlink r:id="rId123">
        <w:r>
          <w:rPr>
            <w:rStyle w:val="Hyperlink"/>
          </w:rPr>
          <w:t xml:space="preserve">10.25573/data.10042502.v3</w:t>
        </w:r>
      </w:hyperlink>
    </w:p>
    <w:bookmarkEnd w:id="124"/>
    <w:bookmarkStart w:id="126" w:name="ref-pederson_is_2013"/>
    <w:p>
      <w:pPr>
        <w:pStyle w:val="Bibliography"/>
      </w:pPr>
      <w:r>
        <w:t xml:space="preserve">Pederson, N., Bell, A. R., Cook, E. R., Lall, U., Devineni, N., Seager, R., … Vranes, K. P. (2013). Is an Epic Pluvial Masking the Water Insecurity of the Greater New York City Region?,</w:t>
      </w:r>
      <w:r>
        <w:t xml:space="preserve"> </w:t>
      </w:r>
      <w:r>
        <w:rPr>
          <w:i/>
        </w:rPr>
        <w:t xml:space="preserve">Journal of Climate</w:t>
      </w:r>
      <w:r>
        <w:t xml:space="preserve">,</w:t>
      </w:r>
      <w:r>
        <w:t xml:space="preserve"> </w:t>
      </w:r>
      <w:r>
        <w:rPr>
          <w:i/>
        </w:rPr>
        <w:t xml:space="preserve">26</w:t>
      </w:r>
      <w:r>
        <w:t xml:space="preserve">(4), 1339–1354. doi:</w:t>
      </w:r>
      <w:hyperlink r:id="rId125">
        <w:r>
          <w:rPr>
            <w:rStyle w:val="Hyperlink"/>
          </w:rPr>
          <w:t xml:space="preserve">10.1175/JCLI-D-11-00723.1</w:t>
        </w:r>
      </w:hyperlink>
    </w:p>
    <w:bookmarkEnd w:id="126"/>
    <w:bookmarkStart w:id="128"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 doi:</w:t>
      </w:r>
      <w:hyperlink r:id="rId127">
        <w:r>
          <w:rPr>
            <w:rStyle w:val="Hyperlink"/>
          </w:rPr>
          <w:t xml:space="preserve">10.1111/gcb.12826</w:t>
        </w:r>
      </w:hyperlink>
    </w:p>
    <w:bookmarkEnd w:id="128"/>
    <w:bookmarkStart w:id="130"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 doi:</w:t>
      </w:r>
      <w:hyperlink r:id="rId129">
        <w:r>
          <w:rPr>
            <w:rStyle w:val="Hyperlink"/>
          </w:rPr>
          <w:t xml:space="preserve">10.1016/j.dendro.2020.125678</w:t>
        </w:r>
      </w:hyperlink>
    </w:p>
    <w:bookmarkEnd w:id="130"/>
    <w:bookmarkStart w:id="132"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 doi:</w:t>
      </w:r>
      <w:hyperlink r:id="rId131">
        <w:r>
          <w:rPr>
            <w:rStyle w:val="Hyperlink"/>
          </w:rPr>
          <w:t xml:space="preserve">10.1111/2041-210X.12753</w:t>
        </w:r>
      </w:hyperlink>
    </w:p>
    <w:bookmarkEnd w:id="132"/>
    <w:bookmarkStart w:id="134"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 doi:</w:t>
      </w:r>
      <w:hyperlink r:id="rId133">
        <w:r>
          <w:rPr>
            <w:rStyle w:val="Hyperlink"/>
          </w:rPr>
          <w:t xml:space="preserve">10.1002/2016JG003528</w:t>
        </w:r>
      </w:hyperlink>
    </w:p>
    <w:bookmarkEnd w:id="134"/>
    <w:bookmarkStart w:id="136" w:name="ref-stephenson_rate_2014"/>
    <w:p>
      <w:pPr>
        <w:pStyle w:val="Bibliography"/>
      </w:pPr>
      <w:r>
        <w:t xml:space="preserve">Stephenson, N. L., Das, A. J., Condit, R., Russo, S. E., Baker, P. J., Beckman, N. G.,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 doi:</w:t>
      </w:r>
      <w:hyperlink r:id="rId135">
        <w:r>
          <w:rPr>
            <w:rStyle w:val="Hyperlink"/>
          </w:rPr>
          <w:t xml:space="preserve">10.1038/nature12914</w:t>
        </w:r>
      </w:hyperlink>
    </w:p>
    <w:bookmarkEnd w:id="136"/>
    <w:bookmarkStart w:id="138" w:name="ref-sullivan_long-term_2020"/>
    <w:p>
      <w:pPr>
        <w:pStyle w:val="Bibliography"/>
      </w:pPr>
      <w:r>
        <w:t xml:space="preserve">Sullivan, M. J. P., Lewis, S. L., Affum-Baffoe, K., Castilho, C., Costa, F., Sanchez, A. C.,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 doi:</w:t>
      </w:r>
      <w:hyperlink r:id="rId137">
        <w:r>
          <w:rPr>
            <w:rStyle w:val="Hyperlink"/>
          </w:rPr>
          <w:t xml:space="preserve">10.1126/science.aaw7578</w:t>
        </w:r>
      </w:hyperlink>
    </w:p>
    <w:bookmarkEnd w:id="138"/>
    <w:bookmarkStart w:id="140" w:name="ref-samonil_individual-based_2013"/>
    <w:p>
      <w:pPr>
        <w:pStyle w:val="Bibliography"/>
      </w:pPr>
      <w:r>
        <w:t xml:space="preserve">Šamonil, P., Doleželová, P., Vašíčková, I., Adam, D., Valtera, M., Král, K., …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 doi:</w:t>
      </w:r>
      <w:hyperlink r:id="rId139">
        <w:r>
          <w:rPr>
            <w:rStyle w:val="Hyperlink"/>
          </w:rPr>
          <w:t xml:space="preserve">10.1111/jvs.12025</w:t>
        </w:r>
      </w:hyperlink>
    </w:p>
    <w:bookmarkEnd w:id="140"/>
    <w:bookmarkStart w:id="142"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 doi:</w:t>
      </w:r>
      <w:hyperlink r:id="rId141">
        <w:r>
          <w:rPr>
            <w:rStyle w:val="Hyperlink"/>
          </w:rPr>
          <w:t xml:space="preserve">10.1016/j.agrformet.2017.08.007</w:t>
        </w:r>
      </w:hyperlink>
    </w:p>
    <w:bookmarkEnd w:id="142"/>
    <w:bookmarkStart w:id="144"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 doi:</w:t>
      </w:r>
      <w:hyperlink r:id="rId143">
        <w:r>
          <w:rPr>
            <w:rStyle w:val="Hyperlink"/>
          </w:rPr>
          <w:t xml:space="preserve">10.1111/gcb.14120</w:t>
        </w:r>
      </w:hyperlink>
    </w:p>
    <w:bookmarkEnd w:id="144"/>
    <w:bookmarkStart w:id="146"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 doi:</w:t>
      </w:r>
      <w:hyperlink r:id="rId145">
        <w:r>
          <w:rPr>
            <w:rStyle w:val="Hyperlink"/>
          </w:rPr>
          <w:t xml:space="preserve">10.5194/cp-9-1481-2013</w:t>
        </w:r>
      </w:hyperlink>
    </w:p>
    <w:bookmarkEnd w:id="146"/>
    <w:bookmarkStart w:id="148"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 doi:</w:t>
      </w:r>
      <w:hyperlink r:id="rId147">
        <w:r>
          <w:rPr>
            <w:rStyle w:val="Hyperlink"/>
          </w:rPr>
          <w:t xml:space="preserve">10.1016/j.agrformet.2017.07.015</w:t>
        </w:r>
      </w:hyperlink>
    </w:p>
    <w:bookmarkEnd w:id="148"/>
    <w:bookmarkStart w:id="150"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 doi:</w:t>
      </w:r>
      <w:hyperlink r:id="rId149">
        <w:r>
          <w:rPr>
            <w:rStyle w:val="Hyperlink"/>
          </w:rPr>
          <w:t xml:space="preserve">10.1111/2041-210X.12590</w:t>
        </w:r>
      </w:hyperlink>
    </w:p>
    <w:bookmarkEnd w:id="150"/>
    <w:bookmarkStart w:id="152"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 doi:</w:t>
      </w:r>
      <w:hyperlink r:id="rId151">
        <w:r>
          <w:rPr>
            <w:rStyle w:val="Hyperlink"/>
          </w:rPr>
          <w:t xml:space="preserve">10.1007/s00442-013-2846-x</w:t>
        </w:r>
      </w:hyperlink>
    </w:p>
    <w:bookmarkEnd w:id="152"/>
    <w:bookmarkStart w:id="154" w:name="ref-walker_integrating_2020"/>
    <w:p>
      <w:pPr>
        <w:pStyle w:val="Bibliography"/>
      </w:pPr>
      <w:r>
        <w:t xml:space="preserve">Walker, A. P., Kauwe, M. G. D., Bastos, A., Belmecheri, S., Georgiou, K., Keeling, R.,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 doi:</w:t>
      </w:r>
      <w:hyperlink r:id="rId153">
        <w:r>
          <w:rPr>
            <w:rStyle w:val="Hyperlink"/>
          </w:rPr>
          <w:t xml:space="preserve">10.1111/nph.16866</w:t>
        </w:r>
      </w:hyperlink>
    </w:p>
    <w:bookmarkEnd w:id="154"/>
    <w:bookmarkStart w:id="156" w:name="ref-wilmking_global_2020"/>
    <w:p>
      <w:pPr>
        <w:pStyle w:val="Bibliography"/>
      </w:pPr>
      <w:r>
        <w:t xml:space="preserve">Wilmking, M., Maaten-Theunissen, M. van der, Maaten, E. van der, Scharnweber, T., Buras, A., Biermann, C., …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 doi:</w:t>
      </w:r>
      <w:hyperlink r:id="rId155">
        <w:r>
          <w:rPr>
            <w:rStyle w:val="Hyperlink"/>
          </w:rPr>
          <w:t xml:space="preserve">10.1111/gcb.15057</w:t>
        </w:r>
      </w:hyperlink>
    </w:p>
    <w:bookmarkEnd w:id="156"/>
    <w:bookmarkStart w:id="158"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 doi:</w:t>
      </w:r>
      <w:hyperlink r:id="rId157">
        <w:r>
          <w:rPr>
            <w:rStyle w:val="Hyperlink"/>
          </w:rPr>
          <w:t xml:space="preserve">10.1111/ecog.01335</w:t>
        </w:r>
      </w:hyperlink>
    </w:p>
    <w:bookmarkEnd w:id="158"/>
    <w:bookmarkEnd w:id="159"/>
    <w:bookmarkEnd w:id="160"/>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29" Target="media/rId29.png" /><Relationship Type="http://schemas.openxmlformats.org/officeDocument/2006/relationships/image" Id="rId44" Target="media/rId44.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33" Target="https://doi.org/10.1002/2016JG003528" TargetMode="External" /><Relationship Type="http://schemas.openxmlformats.org/officeDocument/2006/relationships/hyperlink" Id="rId101" Target="https://doi.org/10.1002/joc.3711" TargetMode="External" /><Relationship Type="http://schemas.openxmlformats.org/officeDocument/2006/relationships/hyperlink" Id="rId114" Target="https://doi.org/10.1007/s00382-016-3396-9" TargetMode="External" /><Relationship Type="http://schemas.openxmlformats.org/officeDocument/2006/relationships/hyperlink" Id="rId151" Target="https://doi.org/10.1007/s00442-013-2846-x" TargetMode="External" /><Relationship Type="http://schemas.openxmlformats.org/officeDocument/2006/relationships/hyperlink" Id="rId56" Target="https://doi.org/10.1007/s00468-017-1629-0" TargetMode="External" /><Relationship Type="http://schemas.openxmlformats.org/officeDocument/2006/relationships/hyperlink" Id="rId93" Target="https://doi.org/10.1007/s10021-020-00501-y" TargetMode="External" /><Relationship Type="http://schemas.openxmlformats.org/officeDocument/2006/relationships/hyperlink" Id="rId99" Target="https://doi.org/10.1007/s10342-016-0982-7" TargetMode="External" /><Relationship Type="http://schemas.openxmlformats.org/officeDocument/2006/relationships/hyperlink" Id="rId86" Target="https://doi.org/10.1007/s10584-009-9594-2" TargetMode="External" /><Relationship Type="http://schemas.openxmlformats.org/officeDocument/2006/relationships/hyperlink" Id="rId116" Target="https://doi.org/10.1007/s10584-016-1720-3" TargetMode="External" /><Relationship Type="http://schemas.openxmlformats.org/officeDocument/2006/relationships/hyperlink" Id="rId70" Target="https://doi.org/10.1016/j.agrformet.2012.10.010" TargetMode="External" /><Relationship Type="http://schemas.openxmlformats.org/officeDocument/2006/relationships/hyperlink" Id="rId147" Target="https://doi.org/10.1016/j.agrformet.2017.07.015" TargetMode="External" /><Relationship Type="http://schemas.openxmlformats.org/officeDocument/2006/relationships/hyperlink" Id="rId141" Target="https://doi.org/10.1016/j.agrformet.2017.08.007" TargetMode="External" /><Relationship Type="http://schemas.openxmlformats.org/officeDocument/2006/relationships/hyperlink" Id="rId129" Target="https://doi.org/10.1016/j.dendro.2020.125678" TargetMode="External" /><Relationship Type="http://schemas.openxmlformats.org/officeDocument/2006/relationships/hyperlink" Id="rId67" Target="https://doi.org/10.1017/S0266467406003312" TargetMode="External" /><Relationship Type="http://schemas.openxmlformats.org/officeDocument/2006/relationships/hyperlink" Id="rId135" Target="https://doi.org/10.1038/nature12914" TargetMode="External" /><Relationship Type="http://schemas.openxmlformats.org/officeDocument/2006/relationships/hyperlink" Id="rId72" Target="https://doi.org/10.1038/nplants.2015.139" TargetMode="External" /><Relationship Type="http://schemas.openxmlformats.org/officeDocument/2006/relationships/hyperlink" Id="rId108" Target="https://doi.org/10.1038/s41467-018-07800-y" TargetMode="External" /><Relationship Type="http://schemas.openxmlformats.org/officeDocument/2006/relationships/hyperlink" Id="rId83" Target="https://doi.org/10.1038/s41467-020-14300-5" TargetMode="External" /><Relationship Type="http://schemas.openxmlformats.org/officeDocument/2006/relationships/hyperlink" Id="rId103" Target="https://doi.org/10.1038/s41597-020-0453-3" TargetMode="External" /><Relationship Type="http://schemas.openxmlformats.org/officeDocument/2006/relationships/hyperlink" Id="rId62" Target="https://doi.org/10.1111/1365-2435.12470" TargetMode="External" /><Relationship Type="http://schemas.openxmlformats.org/officeDocument/2006/relationships/hyperlink" Id="rId149" Target="https://doi.org/10.1111/2041-210X.12590" TargetMode="External" /><Relationship Type="http://schemas.openxmlformats.org/officeDocument/2006/relationships/hyperlink" Id="rId131" Target="https://doi.org/10.1111/2041-210X.12753" TargetMode="External" /><Relationship Type="http://schemas.openxmlformats.org/officeDocument/2006/relationships/hyperlink" Id="rId157" Target="https://doi.org/10.1111/ecog.01335" TargetMode="External" /><Relationship Type="http://schemas.openxmlformats.org/officeDocument/2006/relationships/hyperlink" Id="rId79" Target="https://doi.org/10.1111/ele.12650" TargetMode="External" /><Relationship Type="http://schemas.openxmlformats.org/officeDocument/2006/relationships/hyperlink" Id="rId60" Target="https://doi.org/10.1111/gcb.12712" TargetMode="External" /><Relationship Type="http://schemas.openxmlformats.org/officeDocument/2006/relationships/hyperlink" Id="rId127" Target="https://doi.org/10.1111/gcb.12826" TargetMode="External" /><Relationship Type="http://schemas.openxmlformats.org/officeDocument/2006/relationships/hyperlink" Id="rId88" Target="https://doi.org/10.1111/gcb.13208" TargetMode="External" /><Relationship Type="http://schemas.openxmlformats.org/officeDocument/2006/relationships/hyperlink" Id="rId77" Target="https://doi.org/10.1111/gcb.13535" TargetMode="External" /><Relationship Type="http://schemas.openxmlformats.org/officeDocument/2006/relationships/hyperlink" Id="rId143" Target="https://doi.org/10.1111/gcb.14120" TargetMode="External" /><Relationship Type="http://schemas.openxmlformats.org/officeDocument/2006/relationships/hyperlink" Id="rId112" Target="https://doi.org/10.1111/gcb.14273" TargetMode="External" /><Relationship Type="http://schemas.openxmlformats.org/officeDocument/2006/relationships/hyperlink" Id="rId155" Target="https://doi.org/10.1111/gcb.15057" TargetMode="External" /><Relationship Type="http://schemas.openxmlformats.org/officeDocument/2006/relationships/hyperlink" Id="rId139" Target="https://doi.org/10.1111/jvs.12025" TargetMode="External" /><Relationship Type="http://schemas.openxmlformats.org/officeDocument/2006/relationships/hyperlink" Id="rId110" Target="https://doi.org/10.1111/nph.15668" TargetMode="External" /><Relationship Type="http://schemas.openxmlformats.org/officeDocument/2006/relationships/hyperlink" Id="rId105" Target="https://doi.org/10.1111/nph.15906" TargetMode="External" /><Relationship Type="http://schemas.openxmlformats.org/officeDocument/2006/relationships/hyperlink" Id="rId153" Target="https://doi.org/10.1111/nph.16866" TargetMode="External" /><Relationship Type="http://schemas.openxmlformats.org/officeDocument/2006/relationships/hyperlink" Id="rId120" Target="https://doi.org/10.1111/nph.16996" TargetMode="External" /><Relationship Type="http://schemas.openxmlformats.org/officeDocument/2006/relationships/hyperlink" Id="rId137" Target="https://doi.org/10.1126/science.aaw7578" TargetMode="External" /><Relationship Type="http://schemas.openxmlformats.org/officeDocument/2006/relationships/hyperlink" Id="rId118" Target="https://doi.org/10.1126/science.aaz9463" TargetMode="External" /><Relationship Type="http://schemas.openxmlformats.org/officeDocument/2006/relationships/hyperlink" Id="rId75" Target="https://doi.org/10.1139/cjfr-2018-0206" TargetMode="External" /><Relationship Type="http://schemas.openxmlformats.org/officeDocument/2006/relationships/hyperlink" Id="rId125" Target="https://doi.org/10.1175/JCLI-D-11-00723.1" TargetMode="External" /><Relationship Type="http://schemas.openxmlformats.org/officeDocument/2006/relationships/hyperlink" Id="rId90" Target="https://doi.org/10.1175/JCLI3800.1" TargetMode="External" /><Relationship Type="http://schemas.openxmlformats.org/officeDocument/2006/relationships/hyperlink" Id="rId81" Target="https://doi.org/10.1177/095968369700700314" TargetMode="External" /><Relationship Type="http://schemas.openxmlformats.org/officeDocument/2006/relationships/hyperlink" Id="rId65" Target="https://doi.org/10.1674/0003-0031-180.1.18" TargetMode="External" /><Relationship Type="http://schemas.openxmlformats.org/officeDocument/2006/relationships/hyperlink" Id="rId97" Target="https://doi.org/10.2307/1937545" TargetMode="External" /><Relationship Type="http://schemas.openxmlformats.org/officeDocument/2006/relationships/hyperlink" Id="rId123" Target="https://doi.org/10.25573/data.10042502.v3" TargetMode="External" /><Relationship Type="http://schemas.openxmlformats.org/officeDocument/2006/relationships/hyperlink" Id="rId145" Target="https://doi.org/10.5194/cp-9-1481-2013" TargetMode="External" /><Relationship Type="http://schemas.openxmlformats.org/officeDocument/2006/relationships/hyperlink" Id="rId58" Target="https://doi.org/10.5281/ZENODO.3958215" TargetMode="External" /><Relationship Type="http://schemas.openxmlformats.org/officeDocument/2006/relationships/hyperlink" Id="rId95" Target="https://doi.org/10.5281/ZENODO.4070038" TargetMode="External" /><Relationship Type="http://schemas.openxmlformats.org/officeDocument/2006/relationships/hyperlink" Id="rId49" Target="https://esajournals-onlinelibrary-wiley-com.smithsonian.idm.oclc.org/doi/epdf/10.1890/06-1039.1" TargetMode="External" /><Relationship Type="http://schemas.openxmlformats.org/officeDocument/2006/relationships/hyperlink" Id="rId31" Target="https://github.com/EcoClimLab/ForestGEO-climate-sensitivity/issues/25" TargetMode="External" /><Relationship Type="http://schemas.openxmlformats.org/officeDocument/2006/relationships/hyperlink" Id="rId32" Target="https://github.com/EcoClimLab/ForestGEO-climate-sensitivity/issues/35" TargetMode="External" /><Relationship Type="http://schemas.openxmlformats.org/officeDocument/2006/relationships/hyperlink" Id="rId34" Target="https://github.com/EcoClimLab/ForestGEO-climate-sensitivity/issues/42" TargetMode="External" /><Relationship Type="http://schemas.openxmlformats.org/officeDocument/2006/relationships/hyperlink" Id="rId30" Target="https://github.com/EcoClimLab/ForestGEO-climate-sensitivity/issues/51" TargetMode="External" /><Relationship Type="http://schemas.openxmlformats.org/officeDocument/2006/relationships/hyperlink" Id="rId50"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33" Target="https://doi.org/10.1002/2016JG003528" TargetMode="External" /><Relationship Type="http://schemas.openxmlformats.org/officeDocument/2006/relationships/hyperlink" Id="rId101" Target="https://doi.org/10.1002/joc.3711" TargetMode="External" /><Relationship Type="http://schemas.openxmlformats.org/officeDocument/2006/relationships/hyperlink" Id="rId114" Target="https://doi.org/10.1007/s00382-016-3396-9" TargetMode="External" /><Relationship Type="http://schemas.openxmlformats.org/officeDocument/2006/relationships/hyperlink" Id="rId151" Target="https://doi.org/10.1007/s00442-013-2846-x" TargetMode="External" /><Relationship Type="http://schemas.openxmlformats.org/officeDocument/2006/relationships/hyperlink" Id="rId56" Target="https://doi.org/10.1007/s00468-017-1629-0" TargetMode="External" /><Relationship Type="http://schemas.openxmlformats.org/officeDocument/2006/relationships/hyperlink" Id="rId93" Target="https://doi.org/10.1007/s10021-020-00501-y" TargetMode="External" /><Relationship Type="http://schemas.openxmlformats.org/officeDocument/2006/relationships/hyperlink" Id="rId99" Target="https://doi.org/10.1007/s10342-016-0982-7" TargetMode="External" /><Relationship Type="http://schemas.openxmlformats.org/officeDocument/2006/relationships/hyperlink" Id="rId86" Target="https://doi.org/10.1007/s10584-009-9594-2" TargetMode="External" /><Relationship Type="http://schemas.openxmlformats.org/officeDocument/2006/relationships/hyperlink" Id="rId116" Target="https://doi.org/10.1007/s10584-016-1720-3" TargetMode="External" /><Relationship Type="http://schemas.openxmlformats.org/officeDocument/2006/relationships/hyperlink" Id="rId70" Target="https://doi.org/10.1016/j.agrformet.2012.10.010" TargetMode="External" /><Relationship Type="http://schemas.openxmlformats.org/officeDocument/2006/relationships/hyperlink" Id="rId147" Target="https://doi.org/10.1016/j.agrformet.2017.07.015" TargetMode="External" /><Relationship Type="http://schemas.openxmlformats.org/officeDocument/2006/relationships/hyperlink" Id="rId141" Target="https://doi.org/10.1016/j.agrformet.2017.08.007" TargetMode="External" /><Relationship Type="http://schemas.openxmlformats.org/officeDocument/2006/relationships/hyperlink" Id="rId129" Target="https://doi.org/10.1016/j.dendro.2020.125678" TargetMode="External" /><Relationship Type="http://schemas.openxmlformats.org/officeDocument/2006/relationships/hyperlink" Id="rId67" Target="https://doi.org/10.1017/S0266467406003312" TargetMode="External" /><Relationship Type="http://schemas.openxmlformats.org/officeDocument/2006/relationships/hyperlink" Id="rId135" Target="https://doi.org/10.1038/nature12914" TargetMode="External" /><Relationship Type="http://schemas.openxmlformats.org/officeDocument/2006/relationships/hyperlink" Id="rId72" Target="https://doi.org/10.1038/nplants.2015.139" TargetMode="External" /><Relationship Type="http://schemas.openxmlformats.org/officeDocument/2006/relationships/hyperlink" Id="rId108" Target="https://doi.org/10.1038/s41467-018-07800-y" TargetMode="External" /><Relationship Type="http://schemas.openxmlformats.org/officeDocument/2006/relationships/hyperlink" Id="rId83" Target="https://doi.org/10.1038/s41467-020-14300-5" TargetMode="External" /><Relationship Type="http://schemas.openxmlformats.org/officeDocument/2006/relationships/hyperlink" Id="rId103" Target="https://doi.org/10.1038/s41597-020-0453-3" TargetMode="External" /><Relationship Type="http://schemas.openxmlformats.org/officeDocument/2006/relationships/hyperlink" Id="rId62" Target="https://doi.org/10.1111/1365-2435.12470" TargetMode="External" /><Relationship Type="http://schemas.openxmlformats.org/officeDocument/2006/relationships/hyperlink" Id="rId149" Target="https://doi.org/10.1111/2041-210X.12590" TargetMode="External" /><Relationship Type="http://schemas.openxmlformats.org/officeDocument/2006/relationships/hyperlink" Id="rId131" Target="https://doi.org/10.1111/2041-210X.12753" TargetMode="External" /><Relationship Type="http://schemas.openxmlformats.org/officeDocument/2006/relationships/hyperlink" Id="rId157" Target="https://doi.org/10.1111/ecog.01335" TargetMode="External" /><Relationship Type="http://schemas.openxmlformats.org/officeDocument/2006/relationships/hyperlink" Id="rId79" Target="https://doi.org/10.1111/ele.12650" TargetMode="External" /><Relationship Type="http://schemas.openxmlformats.org/officeDocument/2006/relationships/hyperlink" Id="rId60" Target="https://doi.org/10.1111/gcb.12712" TargetMode="External" /><Relationship Type="http://schemas.openxmlformats.org/officeDocument/2006/relationships/hyperlink" Id="rId127" Target="https://doi.org/10.1111/gcb.12826" TargetMode="External" /><Relationship Type="http://schemas.openxmlformats.org/officeDocument/2006/relationships/hyperlink" Id="rId88" Target="https://doi.org/10.1111/gcb.13208" TargetMode="External" /><Relationship Type="http://schemas.openxmlformats.org/officeDocument/2006/relationships/hyperlink" Id="rId77" Target="https://doi.org/10.1111/gcb.13535" TargetMode="External" /><Relationship Type="http://schemas.openxmlformats.org/officeDocument/2006/relationships/hyperlink" Id="rId143" Target="https://doi.org/10.1111/gcb.14120" TargetMode="External" /><Relationship Type="http://schemas.openxmlformats.org/officeDocument/2006/relationships/hyperlink" Id="rId112" Target="https://doi.org/10.1111/gcb.14273" TargetMode="External" /><Relationship Type="http://schemas.openxmlformats.org/officeDocument/2006/relationships/hyperlink" Id="rId155" Target="https://doi.org/10.1111/gcb.15057" TargetMode="External" /><Relationship Type="http://schemas.openxmlformats.org/officeDocument/2006/relationships/hyperlink" Id="rId139" Target="https://doi.org/10.1111/jvs.12025" TargetMode="External" /><Relationship Type="http://schemas.openxmlformats.org/officeDocument/2006/relationships/hyperlink" Id="rId110" Target="https://doi.org/10.1111/nph.15668" TargetMode="External" /><Relationship Type="http://schemas.openxmlformats.org/officeDocument/2006/relationships/hyperlink" Id="rId105" Target="https://doi.org/10.1111/nph.15906" TargetMode="External" /><Relationship Type="http://schemas.openxmlformats.org/officeDocument/2006/relationships/hyperlink" Id="rId153" Target="https://doi.org/10.1111/nph.16866" TargetMode="External" /><Relationship Type="http://schemas.openxmlformats.org/officeDocument/2006/relationships/hyperlink" Id="rId120" Target="https://doi.org/10.1111/nph.16996" TargetMode="External" /><Relationship Type="http://schemas.openxmlformats.org/officeDocument/2006/relationships/hyperlink" Id="rId137" Target="https://doi.org/10.1126/science.aaw7578" TargetMode="External" /><Relationship Type="http://schemas.openxmlformats.org/officeDocument/2006/relationships/hyperlink" Id="rId118" Target="https://doi.org/10.1126/science.aaz9463" TargetMode="External" /><Relationship Type="http://schemas.openxmlformats.org/officeDocument/2006/relationships/hyperlink" Id="rId75" Target="https://doi.org/10.1139/cjfr-2018-0206" TargetMode="External" /><Relationship Type="http://schemas.openxmlformats.org/officeDocument/2006/relationships/hyperlink" Id="rId125" Target="https://doi.org/10.1175/JCLI-D-11-00723.1" TargetMode="External" /><Relationship Type="http://schemas.openxmlformats.org/officeDocument/2006/relationships/hyperlink" Id="rId90" Target="https://doi.org/10.1175/JCLI3800.1" TargetMode="External" /><Relationship Type="http://schemas.openxmlformats.org/officeDocument/2006/relationships/hyperlink" Id="rId81" Target="https://doi.org/10.1177/095968369700700314" TargetMode="External" /><Relationship Type="http://schemas.openxmlformats.org/officeDocument/2006/relationships/hyperlink" Id="rId65" Target="https://doi.org/10.1674/0003-0031-180.1.18" TargetMode="External" /><Relationship Type="http://schemas.openxmlformats.org/officeDocument/2006/relationships/hyperlink" Id="rId97" Target="https://doi.org/10.2307/1937545" TargetMode="External" /><Relationship Type="http://schemas.openxmlformats.org/officeDocument/2006/relationships/hyperlink" Id="rId123" Target="https://doi.org/10.25573/data.10042502.v3" TargetMode="External" /><Relationship Type="http://schemas.openxmlformats.org/officeDocument/2006/relationships/hyperlink" Id="rId145" Target="https://doi.org/10.5194/cp-9-1481-2013" TargetMode="External" /><Relationship Type="http://schemas.openxmlformats.org/officeDocument/2006/relationships/hyperlink" Id="rId58" Target="https://doi.org/10.5281/ZENODO.3958215" TargetMode="External" /><Relationship Type="http://schemas.openxmlformats.org/officeDocument/2006/relationships/hyperlink" Id="rId95" Target="https://doi.org/10.5281/ZENODO.4070038" TargetMode="External" /><Relationship Type="http://schemas.openxmlformats.org/officeDocument/2006/relationships/hyperlink" Id="rId49" Target="https://esajournals-onlinelibrary-wiley-com.smithsonian.idm.oclc.org/doi/epdf/10.1890/06-1039.1" TargetMode="External" /><Relationship Type="http://schemas.openxmlformats.org/officeDocument/2006/relationships/hyperlink" Id="rId31" Target="https://github.com/EcoClimLab/ForestGEO-climate-sensitivity/issues/25" TargetMode="External" /><Relationship Type="http://schemas.openxmlformats.org/officeDocument/2006/relationships/hyperlink" Id="rId32" Target="https://github.com/EcoClimLab/ForestGEO-climate-sensitivity/issues/35" TargetMode="External" /><Relationship Type="http://schemas.openxmlformats.org/officeDocument/2006/relationships/hyperlink" Id="rId34" Target="https://github.com/EcoClimLab/ForestGEO-climate-sensitivity/issues/42" TargetMode="External" /><Relationship Type="http://schemas.openxmlformats.org/officeDocument/2006/relationships/hyperlink" Id="rId30" Target="https://github.com/EcoClimLab/ForestGEO-climate-sensitivity/issues/51" TargetMode="External" /><Relationship Type="http://schemas.openxmlformats.org/officeDocument/2006/relationships/hyperlink" Id="rId50"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2020-11-04T16:54:14Z</dcterms:created>
  <dcterms:modified xsi:type="dcterms:W3CDTF">2020-11-04T16:54:14Z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methods-in-ecology-and-evolution.csl</vt:lpwstr>
  </property>
  <property fmtid="{D5CDD505-2E9C-101B-9397-08002B2CF9AE}" pid="4" name="nocite">
    <vt:lpwstr>@vlam_temperature_2014; @maxwell_declining_2016; @sniderhan_growth_2016; @alfaro-sanchez_growth_2017; @helcoski_growing_2019; @gonzalez-akre_scbi-forestgeoscbi-forestgeo-data_2020-1; @aus_de_ar_tree_2018; @bumann_assessing_2019; @samonil_individual-based_2013; @kaspar_species-specific_nodate</vt:lpwstr>
  </property>
  <property fmtid="{D5CDD505-2E9C-101B-9397-08002B2CF9AE}" pid="5" name="output">
    <vt:lpwstr/>
  </property>
</Properties>
</file>